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Light" w:hAnsi="Calibri Light" w:eastAsia="Times New Roman" w:cs="Calibri Light" w:asciiTheme="majorHAnsi" w:cstheme="majorHAnsi" w:hAnsiTheme="majorHAnsi"/>
          <w:b/>
        </w:rPr>
      </w:pPr>
      <w:r>
        <w:rPr>
          <w:rFonts w:eastAsia="Times New Roman" w:cs="Calibri Light" w:cstheme="majorHAnsi" w:ascii="Calibri Light" w:hAnsi="Calibri Light"/>
          <w:b/>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rFonts w:ascii="Calibri Light" w:hAnsi="Calibri Light" w:cs="Calibri Light" w:asciiTheme="majorHAnsi" w:cstheme="majorHAnsi" w:hAnsiTheme="majorHAnsi"/>
          <w:b/>
          <w:i/>
          <w:i/>
          <w:iCs/>
        </w:rPr>
      </w:pPr>
      <w:r>
        <w:rPr>
          <w:rFonts w:cs="Calibri Light" w:cstheme="majorHAnsi" w:ascii="Calibri Light" w:hAnsi="Calibri Light"/>
          <w:b/>
          <w:i/>
          <w:iCs/>
        </w:rPr>
      </w:r>
    </w:p>
    <w:p>
      <w:pPr>
        <w:pStyle w:val="Normal"/>
        <w:ind w:left="708" w:right="56"/>
        <w:jc w:val="center"/>
        <w:rPr/>
      </w:pPr>
      <w:r>
        <w:rPr>
          <w:rFonts w:cs="Calibri Light" w:ascii="Calibri Light" w:hAnsi="Calibri Light" w:asciiTheme="majorHAnsi" w:cstheme="majorHAnsi" w:hAnsiTheme="majorHAnsi"/>
          <w:b/>
        </w:rPr>
        <w:t>ТЕХНИЧЕСКОЕ ЗАДАНИЕ</w:t>
      </w:r>
    </w:p>
    <w:p>
      <w:pPr>
        <w:pStyle w:val="Normal"/>
        <w:ind w:left="708" w:right="56"/>
        <w:jc w:val="center"/>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ight="56"/>
        <w:jc w:val="center"/>
        <w:rPr/>
      </w:pPr>
      <w:r>
        <w:rPr>
          <w:rFonts w:cs="Calibri Light" w:ascii="Calibri Light" w:hAnsi="Calibri Light"/>
          <w:b/>
        </w:rPr>
        <w:fldChar w:fldCharType="begin"/>
      </w:r>
      <w:r>
        <w:rPr>
          <w:b/>
          <w:rFonts w:cs="Calibri Light" w:ascii="Calibri Light" w:hAnsi="Calibri Light"/>
        </w:rPr>
        <w:instrText xml:space="preserve"> DOCPROPERTY "Название проекта"</w:instrText>
      </w:r>
      <w:r>
        <w:rPr>
          <w:b/>
          <w:rFonts w:cs="Calibri Light" w:ascii="Calibri Light" w:hAnsi="Calibri Light"/>
        </w:rPr>
        <w:fldChar w:fldCharType="separate"/>
      </w:r>
      <w:r>
        <w:rPr>
          <w:b/>
          <w:rFonts w:cs="Calibri Light" w:ascii="Calibri Light" w:hAnsi="Calibri Light"/>
        </w:rPr>
        <w:t>«На модернизацию существующей сети хранения данных, построенной на базе оборудования IBM.»</w:t>
      </w:r>
      <w:r>
        <w:rPr>
          <w:b/>
          <w:rFonts w:cs="Calibri Light" w:ascii="Calibri Light" w:hAnsi="Calibri Light"/>
        </w:rPr>
        <w:fldChar w:fldCharType="end"/>
      </w:r>
    </w:p>
    <w:p>
      <w:pPr>
        <w:pStyle w:val="Normal"/>
        <w:ind w:left="708"/>
        <w:jc w:val="both"/>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center"/>
        <w:rPr>
          <w:rFonts w:ascii="Calibri Light" w:hAnsi="Calibri Light" w:cs="Calibri Light" w:asciiTheme="majorHAnsi" w:cstheme="majorHAnsi" w:hAnsiTheme="majorHAnsi"/>
          <w:b/>
        </w:rPr>
      </w:pPr>
      <w:r>
        <w:rPr>
          <w:rFonts w:cs="Calibri Light" w:ascii="Calibri Light" w:hAnsi="Calibri Light" w:asciiTheme="majorHAnsi" w:cstheme="majorHAnsi" w:hAnsiTheme="majorHAnsi"/>
          <w:b/>
        </w:rPr>
        <w:t>на ______ листах</w:t>
      </w:r>
    </w:p>
    <w:p>
      <w:pPr>
        <w:pStyle w:val="Normal"/>
        <w:jc w:val="center"/>
        <w:rPr>
          <w:rFonts w:ascii="Calibri Light" w:hAnsi="Calibri Light" w:cs="Calibri Light" w:asciiTheme="majorHAnsi" w:cstheme="majorHAnsi" w:hAnsiTheme="majorHAnsi"/>
          <w:b/>
        </w:rPr>
      </w:pPr>
      <w:r>
        <w:rPr>
          <w:rFonts w:cs="Calibri Light" w:ascii="Calibri Light" w:hAnsi="Calibri Light" w:asciiTheme="majorHAnsi" w:cstheme="majorHAnsi" w:hAnsiTheme="majorHAnsi"/>
          <w:b/>
        </w:rPr>
        <w:t>действует с «___» _____________ 2025 года</w:t>
      </w:r>
    </w:p>
    <w:p>
      <w:pPr>
        <w:pStyle w:val="Normal"/>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ascii="Calibri Light" w:hAnsi="Calibri Light" w:asciiTheme="majorHAnsi" w:cstheme="majorHAnsi" w:hAnsiTheme="majorHAnsi"/>
          <w:b/>
        </w:rPr>
        <w:t xml:space="preserve">Заказчик: </w:t>
        <w:tab/>
        <w:t>АО «Национальный межбанковский процессинговый центр»</w:t>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ind w:left="708"/>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both"/>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both"/>
        <w:rPr>
          <w:rFonts w:ascii="Calibri Light" w:hAnsi="Calibri Light" w:cs="Calibri Light" w:asciiTheme="majorHAnsi" w:cstheme="majorHAnsi" w:hAnsiTheme="majorHAnsi"/>
          <w:b/>
        </w:rPr>
      </w:pPr>
      <w:r>
        <w:rPr>
          <w:rFonts w:cs="Calibri Light" w:cstheme="majorHAnsi" w:ascii="Calibri Light" w:hAnsi="Calibri Light"/>
          <w:b/>
        </w:rPr>
      </w:r>
    </w:p>
    <w:p>
      <w:pPr>
        <w:pStyle w:val="Normal"/>
        <w:jc w:val="center"/>
        <w:rPr>
          <w:rFonts w:ascii="Calibri Light" w:hAnsi="Calibri Light" w:cs="Calibri Light" w:asciiTheme="majorHAnsi" w:cstheme="majorHAnsi" w:hAnsiTheme="majorHAnsi"/>
          <w:b/>
        </w:rPr>
      </w:pPr>
      <w:r>
        <w:rPr>
          <w:rFonts w:cs="Calibri Light" w:ascii="Calibri Light" w:hAnsi="Calibri Light" w:asciiTheme="majorHAnsi" w:cstheme="majorHAnsi" w:hAnsiTheme="majorHAnsi"/>
          <w:b/>
        </w:rPr>
        <w:t>Ташкент – 2025 г.</w:t>
      </w:r>
    </w:p>
    <w:p>
      <w:pPr>
        <w:pStyle w:val="Normal"/>
        <w:spacing w:lineRule="auto" w:line="360" w:before="0" w:after="0"/>
        <w:jc w:val="center"/>
        <w:rPr>
          <w:rFonts w:ascii="Calibri Light" w:hAnsi="Calibri Light" w:eastAsia="Times New Roman" w:cs="Calibri Light" w:asciiTheme="majorHAnsi" w:cstheme="majorHAnsi" w:hAnsiTheme="majorHAnsi"/>
          <w:b/>
          <w:bCs/>
        </w:rPr>
      </w:pPr>
      <w:r>
        <w:rPr>
          <w:rFonts w:eastAsia="Times New Roman" w:cs="Calibri Light" w:ascii="Calibri Light" w:hAnsi="Calibri Light" w:asciiTheme="majorHAnsi" w:cstheme="majorHAnsi" w:hAnsiTheme="majorHAnsi"/>
          <w:b/>
          <w:bCs/>
        </w:rPr>
        <w:t xml:space="preserve">Техническое задание на модернизацию существующей сети хранения данных, построенной на базе оборудования </w:t>
      </w:r>
      <w:r>
        <w:rPr>
          <w:rFonts w:eastAsia="Times New Roman" w:cs="Calibri Light" w:ascii="Calibri Light" w:hAnsi="Calibri Light" w:asciiTheme="majorHAnsi" w:cstheme="majorHAnsi" w:hAnsiTheme="majorHAnsi"/>
          <w:b/>
          <w:bCs/>
          <w:lang w:val="en-US"/>
        </w:rPr>
        <w:t>IBM</w:t>
      </w:r>
      <w:r>
        <w:rPr>
          <w:rFonts w:eastAsia="Times New Roman" w:cs="Calibri Light" w:ascii="Calibri Light" w:hAnsi="Calibri Light" w:asciiTheme="majorHAnsi" w:cstheme="majorHAnsi" w:hAnsiTheme="majorHAnsi"/>
          <w:b/>
          <w:bCs/>
        </w:rPr>
        <w:t>.</w:t>
      </w:r>
    </w:p>
    <w:p>
      <w:pPr>
        <w:pStyle w:val="Estilo1-A2MK"/>
        <w:ind w:hanging="502" w:left="720"/>
        <w:rPr>
          <w:rFonts w:ascii="Calibri Light" w:hAnsi="Calibri Light" w:eastAsia="Times New Roman" w:cs="Calibri Light" w:asciiTheme="majorHAnsi" w:cstheme="majorHAnsi" w:hAnsiTheme="majorHAnsi"/>
        </w:rPr>
      </w:pPr>
      <w:r>
        <w:rPr>
          <w:rFonts w:eastAsia="Times New Roman" w:cs="Calibri Light" w:ascii="Calibri Light" w:hAnsi="Calibri Light" w:asciiTheme="majorHAnsi" w:cstheme="majorHAnsi" w:hAnsiTheme="majorHAnsi"/>
        </w:rPr>
        <w:t>Цели проекта</w:t>
      </w:r>
    </w:p>
    <w:p>
      <w:pPr>
        <w:pStyle w:val="ListParagraph"/>
        <w:numPr>
          <w:ilvl w:val="1"/>
          <w:numId w:val="1"/>
        </w:numPr>
        <w:spacing w:before="120" w:after="120"/>
        <w:ind w:hanging="709" w:left="709"/>
        <w:contextualSpacing/>
        <w:jc w:val="both"/>
        <w:outlineLvl w:val="0"/>
        <w:rPr>
          <w:rFonts w:ascii="Calibri Light" w:hAnsi="Calibri Light" w:eastAsia="Times New Roman" w:cs="Calibri Light" w:asciiTheme="majorHAnsi" w:cstheme="majorHAnsi" w:hAnsiTheme="majorHAnsi"/>
        </w:rPr>
      </w:pPr>
      <w:r>
        <w:rPr>
          <w:rFonts w:eastAsia="Times New Roman" w:cs="Calibri Light" w:ascii="Calibri Light" w:hAnsi="Calibri Light" w:asciiTheme="majorHAnsi" w:cstheme="majorHAnsi" w:hAnsiTheme="majorHAnsi"/>
        </w:rPr>
        <w:t>Увеличение пропускной способности, производительности и емкости FC портов сети хранения данных: Внедрение коммутаторов с поддержкой скоростей Fibre Channel 32 Gbps и 64 Gbps. Это позволит значительно повысить пропускную способность SAN, обеспечивая низкую задержку и высокую производительность при передаче больших объемов данных, а также увеличить количество FC портов.</w:t>
      </w:r>
    </w:p>
    <w:p>
      <w:pPr>
        <w:pStyle w:val="ListParagraph"/>
        <w:numPr>
          <w:ilvl w:val="1"/>
          <w:numId w:val="1"/>
        </w:numPr>
        <w:spacing w:before="120" w:after="120"/>
        <w:ind w:hanging="709" w:left="709"/>
        <w:contextualSpacing/>
        <w:jc w:val="both"/>
        <w:outlineLvl w:val="0"/>
        <w:rPr>
          <w:rFonts w:ascii="Calibri Light" w:hAnsi="Calibri Light" w:eastAsia="Times New Roman" w:cs="Calibri Light" w:asciiTheme="majorHAnsi" w:cstheme="majorHAnsi" w:hAnsiTheme="majorHAnsi"/>
        </w:rPr>
      </w:pPr>
      <w:r>
        <w:rPr>
          <w:rFonts w:eastAsia="Times New Roman" w:cs="Calibri Light" w:ascii="Calibri Light" w:hAnsi="Calibri Light" w:cstheme="majorHAnsi"/>
        </w:rPr>
        <w:t>Применение технологии объединения нескольких коммутаторов в единую фабрику коммутаторов без потери производительности.</w:t>
      </w:r>
    </w:p>
    <w:p>
      <w:pPr>
        <w:pStyle w:val="ListParagraph"/>
        <w:numPr>
          <w:ilvl w:val="1"/>
          <w:numId w:val="1"/>
        </w:numPr>
        <w:spacing w:before="120" w:after="120"/>
        <w:ind w:hanging="709" w:left="709"/>
        <w:contextualSpacing/>
        <w:jc w:val="both"/>
        <w:outlineLvl w:val="0"/>
        <w:rPr>
          <w:rFonts w:ascii="Calibri Light" w:hAnsi="Calibri Light" w:eastAsia="Times New Roman" w:cs="Calibri Light" w:asciiTheme="majorHAnsi" w:cstheme="majorHAnsi" w:hAnsiTheme="majorHAnsi"/>
        </w:rPr>
      </w:pPr>
      <w:r>
        <w:rPr>
          <w:rFonts w:eastAsia="Times New Roman" w:cs="Calibri Light" w:ascii="Calibri Light" w:hAnsi="Calibri Light" w:asciiTheme="majorHAnsi" w:cstheme="majorHAnsi" w:hAnsiTheme="majorHAnsi"/>
        </w:rPr>
        <w:t>Обеспечение отказоустойчивости и непрерывности работы: Создание высокодоступной архитектуры сети хранения данных с функциями Fabric Redundancy и Multi-Pathing. Поддержка Frame-based Trunking для объединения нескольких портов в один логический канал, что обеспечит балансировку нагрузки и защиту от сбоев в отдельных каналах.</w:t>
      </w:r>
    </w:p>
    <w:p>
      <w:pPr>
        <w:pStyle w:val="ListParagraph"/>
        <w:numPr>
          <w:ilvl w:val="1"/>
          <w:numId w:val="1"/>
        </w:numPr>
        <w:spacing w:before="120" w:after="120"/>
        <w:ind w:hanging="709" w:left="709"/>
        <w:contextualSpacing/>
        <w:jc w:val="both"/>
        <w:outlineLvl w:val="0"/>
        <w:rPr>
          <w:rFonts w:ascii="Calibri Light" w:hAnsi="Calibri Light" w:eastAsia="Times New Roman" w:cs="Calibri Light" w:asciiTheme="majorHAnsi" w:cstheme="majorHAnsi" w:hAnsiTheme="majorHAnsi"/>
        </w:rPr>
      </w:pPr>
      <w:r>
        <w:rPr>
          <w:rFonts w:eastAsia="Times New Roman" w:cs="Calibri Light" w:ascii="Calibri Light" w:hAnsi="Calibri Light" w:asciiTheme="majorHAnsi" w:cstheme="majorHAnsi" w:hAnsiTheme="majorHAnsi"/>
        </w:rPr>
        <w:t>Усиление безопасности данных в сети хранения данных: Поддержка современных протоколов безопасности, включая Fibre Channel Security Protocol (FC-SP) и Secure Fabric OS, что обеспечивает защиту данных на уровне сети и снижает риски несанкционированного доступа и утечки информации.</w:t>
      </w:r>
    </w:p>
    <w:p>
      <w:pPr>
        <w:pStyle w:val="ListParagraph"/>
        <w:numPr>
          <w:ilvl w:val="1"/>
          <w:numId w:val="1"/>
        </w:numPr>
        <w:spacing w:before="120" w:after="120"/>
        <w:ind w:hanging="706" w:left="706"/>
        <w:contextualSpacing/>
        <w:jc w:val="both"/>
        <w:outlineLvl w:val="0"/>
        <w:rPr/>
      </w:pPr>
      <w:r>
        <w:rPr>
          <w:rFonts w:eastAsia="Times New Roman" w:cs="Calibri Light" w:ascii="Calibri Light" w:hAnsi="Calibri Light" w:asciiTheme="majorHAnsi" w:cstheme="majorHAnsi" w:hAnsiTheme="majorHAnsi"/>
        </w:rPr>
        <w:t>Поддержка современных стандартов и протоколов: Поддержка актуальных стандартов, таких как NVMe over Fabrics (NVMe-oF), и обеспечение интеграции с виртуализированными и облачными средами. Это гарантирует гибкость и расширяемость сети хранения данных для удовлетворения будущих потребностей бизнеса.</w:t>
      </w:r>
    </w:p>
    <w:p>
      <w:pPr>
        <w:pStyle w:val="ListParagraph"/>
        <w:numPr>
          <w:ilvl w:val="1"/>
          <w:numId w:val="1"/>
        </w:numPr>
        <w:spacing w:before="120" w:after="120"/>
        <w:ind w:hanging="706" w:left="706"/>
        <w:contextualSpacing/>
        <w:jc w:val="both"/>
        <w:outlineLvl w:val="0"/>
        <w:rPr/>
      </w:pPr>
      <w:r>
        <w:rPr>
          <w:rFonts w:eastAsia="Times New Roman" w:cs="Calibri Light" w:ascii="Calibri Light" w:hAnsi="Calibri Light" w:asciiTheme="majorHAnsi" w:cstheme="majorHAnsi" w:hAnsiTheme="majorHAnsi"/>
          <w:color w:val="000000"/>
        </w:rPr>
        <w:t xml:space="preserve">Объединение сетей хранения данных SAN Основной и Резервной площадок посредством соединения их коммутаторов между собой по ВОЛС. Это гарантирует расширяемость и обеспечение отказоустойчивости систем. </w:t>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Estilo1-A2MK"/>
        <w:ind w:hanging="502" w:left="720"/>
        <w:rPr>
          <w:rFonts w:ascii="Calibri Light" w:hAnsi="Calibri Light" w:eastAsia="Times New Roman" w:cs="Calibri Light" w:asciiTheme="majorHAnsi" w:cstheme="majorHAnsi" w:hAnsiTheme="majorHAnsi"/>
        </w:rPr>
      </w:pPr>
      <w:bookmarkStart w:id="0" w:name="_Toc95128876"/>
      <w:r>
        <w:rPr>
          <w:rFonts w:eastAsia="Times New Roman" w:cs="Calibri Light" w:ascii="Calibri Light" w:hAnsi="Calibri Light" w:asciiTheme="majorHAnsi" w:cstheme="majorHAnsi" w:hAnsiTheme="majorHAnsi"/>
        </w:rPr>
        <w:t>Т</w:t>
      </w:r>
      <w:bookmarkEnd w:id="0"/>
      <w:r>
        <w:rPr>
          <w:rFonts w:eastAsia="Times New Roman" w:cs="Calibri Light" w:ascii="Calibri Light" w:hAnsi="Calibri Light" w:asciiTheme="majorHAnsi" w:cstheme="majorHAnsi" w:hAnsiTheme="majorHAnsi"/>
        </w:rPr>
        <w:t>ехническая квалификация</w:t>
      </w:r>
    </w:p>
    <w:p>
      <w:pPr>
        <w:pStyle w:val="ListParagraph"/>
        <w:numPr>
          <w:ilvl w:val="0"/>
          <w:numId w:val="0"/>
        </w:numPr>
        <w:spacing w:before="120" w:after="120"/>
        <w:ind w:hanging="706" w:left="706"/>
        <w:contextualSpacing/>
        <w:jc w:val="both"/>
        <w:outlineLvl w:val="0"/>
        <w:rPr/>
      </w:pPr>
      <w:r>
        <w:rPr>
          <w:rFonts w:eastAsia="Times New Roman" w:cs="Calibri Light" w:ascii="Calibri Light" w:hAnsi="Calibri Light" w:asciiTheme="majorHAnsi" w:cstheme="majorHAnsi" w:hAnsiTheme="majorHAnsi"/>
        </w:rPr>
        <w:t>Участник конкурса (тендера) должен представить:</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asciiTheme="majorHAnsi" w:cstheme="majorHAnsi" w:hAnsiTheme="majorHAnsi"/>
        </w:rPr>
        <w:t>2.1.</w:t>
        <w:tab/>
        <w:t>Авторизационные письма, выданные производителем решения (в случае компоновки конечного решения из нескольких компонентов разных производителей авторизационные письма должны быть предоставлены от каждого производителя всех компонентов решения) для этого Технического задания, информирующее о том, что Подрядчик может и уполномочен продавать продукты и услуги, являющиеся составной часть технических требований настоящего технического задания.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2.2.</w:t>
        <w:tab/>
        <w:t>Справку о наличии опыта не менее двух аналогичных поставок информационных и телекоммуникационных инфраструктур, аналогичных (сопоставимых) по объемам капитальных вложений, внедряемым в рамках настоящего проекта.</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2.3.</w:t>
        <w:tab/>
        <w:t>Информацию о наличии сертифицированного инженера в штате поставщика – подтвержденный сертификатами производителя как существующего, так и вновь вводимого в эксплуатацию оборудования.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2.4.</w:t>
        <w:tab/>
        <w:t>Состав проектной команды на оказание услуг по инсталляции оборудования и ПНР.</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2.5.</w:t>
        <w:tab/>
        <w:t xml:space="preserve">Подтверждающее письмо о том, что производитель оборудования не находится под международными санкциями </w:t>
      </w:r>
      <w:hyperlink r:id="rId2">
        <w:r>
          <w:rPr>
            <w:rStyle w:val="Hyperlink"/>
            <w:rFonts w:eastAsia="Times New Roman" w:cs="Calibri Light" w:ascii="Calibri Light" w:hAnsi="Calibri Light" w:cstheme="majorHAnsi"/>
          </w:rPr>
          <w:t>https://sanctionssearch.ofac.treas.gov</w:t>
        </w:r>
      </w:hyperlink>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2.6.</w:t>
        <w:tab/>
        <w:t>Подтверждающее письмо о наличии сервисных центров на территории Республики Узбекистан – информационное письмо от Производителя с обязательным указанием всех каналов связи упомянутых сервисных центров (как минимум, электронная почта, выделенный номер телефона для сервисных инцидентов, портал технической поддержки сервисного центра (</w:t>
      </w:r>
      <w:r>
        <w:rPr>
          <w:rFonts w:eastAsia="Times New Roman" w:cs="Calibri Light" w:ascii="Calibri Light" w:hAnsi="Calibri Light" w:cstheme="majorHAnsi"/>
          <w:lang w:val="en-US"/>
        </w:rPr>
        <w:t>Help</w:t>
      </w:r>
      <w:r>
        <w:rPr>
          <w:rFonts w:eastAsia="Times New Roman" w:cs="Calibri Light" w:ascii="Calibri Light" w:hAnsi="Calibri Light" w:cstheme="majorHAnsi"/>
        </w:rPr>
        <w:t xml:space="preserve"> </w:t>
      </w:r>
      <w:r>
        <w:rPr>
          <w:rFonts w:eastAsia="Times New Roman" w:cs="Calibri Light" w:ascii="Calibri Light" w:hAnsi="Calibri Light" w:cstheme="majorHAnsi"/>
          <w:lang w:val="en-US"/>
        </w:rPr>
        <w:t>Desk</w:t>
      </w:r>
      <w:r>
        <w:rPr>
          <w:rFonts w:eastAsia="Times New Roman" w:cs="Calibri Light" w:ascii="Calibri Light" w:hAnsi="Calibri Light" w:cstheme="majorHAnsi"/>
        </w:rPr>
        <w:t xml:space="preserve"> система) для поддержки внешних пользователей/ клиентов).</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asciiTheme="majorHAnsi" w:cstheme="majorHAnsi" w:hAnsiTheme="majorHAnsi"/>
        </w:rPr>
        <w:t>2.7.</w:t>
        <w:tab/>
        <w:t>Сравнительную таблицу соответствия всем пунктам настоящего Технического задания.</w:t>
      </w:r>
    </w:p>
    <w:p>
      <w:pPr>
        <w:pStyle w:val="ListParagraph"/>
        <w:numPr>
          <w:ilvl w:val="0"/>
          <w:numId w:val="0"/>
        </w:numPr>
        <w:tabs>
          <w:tab w:val="clear" w:pos="720"/>
          <w:tab w:val="left" w:pos="1701" w:leader="none"/>
        </w:tabs>
        <w:spacing w:before="120" w:after="120"/>
        <w:ind w:hanging="706" w:left="706"/>
        <w:contextualSpacing/>
        <w:jc w:val="both"/>
        <w:outlineLvl w:val="0"/>
        <w:rPr/>
      </w:pPr>
      <w:r>
        <w:rPr>
          <w:rFonts w:eastAsia="Times New Roman" w:cs="Calibri Light" w:ascii="Calibri Light" w:hAnsi="Calibri Light" w:cstheme="majorHAnsi"/>
        </w:rPr>
        <w:t>2.8.</w:t>
        <w:tab/>
        <w:t xml:space="preserve">Техническую спецификацию всех компонентов предлагаемого оборудования в соответствии с требованиями настоящего Технического задания. </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asciiTheme="majorHAnsi" w:cstheme="majorHAnsi" w:hAnsiTheme="majorHAnsi"/>
        </w:rPr>
      </w:pPr>
      <w:r>
        <w:rPr>
          <w:rFonts w:eastAsia="Times New Roman" w:cs="Calibri Light" w:cstheme="majorHAnsi" w:ascii="Calibri Light" w:hAnsi="Calibri Light"/>
        </w:rPr>
      </w:r>
    </w:p>
    <w:p>
      <w:pPr>
        <w:pStyle w:val="Estilo1-A2MK"/>
        <w:spacing w:lineRule="auto" w:line="276" w:before="0" w:after="120"/>
        <w:ind w:hanging="502" w:left="720"/>
        <w:rPr>
          <w:rFonts w:ascii="Calibri Light" w:hAnsi="Calibri Light" w:eastAsia="Times New Roman" w:cs="Calibri Light" w:asciiTheme="majorHAnsi" w:cstheme="majorHAnsi" w:hAnsiTheme="majorHAnsi"/>
        </w:rPr>
      </w:pPr>
      <w:bookmarkStart w:id="1" w:name="_Toc95128878"/>
      <w:r>
        <w:rPr>
          <w:rFonts w:eastAsia="Times New Roman" w:cs="Calibri Light" w:ascii="Calibri Light" w:hAnsi="Calibri Light" w:asciiTheme="majorHAnsi" w:cstheme="majorHAnsi" w:hAnsiTheme="majorHAnsi"/>
        </w:rPr>
        <w:t>С</w:t>
      </w:r>
      <w:bookmarkEnd w:id="1"/>
      <w:r>
        <w:rPr>
          <w:rFonts w:eastAsia="Times New Roman" w:cs="Calibri Light" w:ascii="Calibri Light" w:hAnsi="Calibri Light" w:asciiTheme="majorHAnsi" w:cstheme="majorHAnsi" w:hAnsiTheme="majorHAnsi"/>
        </w:rPr>
        <w:t>остав решения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3.1.</w:t>
        <w:tab/>
        <w:t>В каждом из дата-центров (основном и резервном) должны быть установлены новые коммутаторы сети хранения данных и объединены в фабрики с уже существующими коммутаторами. Для обеспечения отказоустойчивости и высокой доступности, в каждом дата-центре необходимо установить по два комплекта коммутаторов, формирующих отдельные и независимые фабрики. Каждая фабрика должна быть спроектирована таким образом, чтобы справляться с полной нагрузкой автономно, обеспечивая беспрепятственное переключение и максимальную надежность и эффективность инфраструктуры сети хранения данных в обоих дата-центрах. Фабрики основного и резервного дата-центров должны соединяться между собой посредством SFP+ ELW SEC 25km модулей и ВОЛС, проложенной между Основной и Резервной площадками, с обязательной настройкой маршрутизации между фабриками.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3.2.</w:t>
        <w:tab/>
        <w:t xml:space="preserve">Выполнение участником требований к услугам по монтажу, настройке и пуско-наладке, указанным в п. 8.1. (пп. 8.1.1 — 8.1.7.), п. 8.2. (пп. 8.2.1), 8.3. </w:t>
        <w:br/>
      </w:r>
    </w:p>
    <w:p>
      <w:pPr>
        <w:pStyle w:val="Normal"/>
        <w:rPr>
          <w:rFonts w:ascii="Calibri Light" w:hAnsi="Calibri Light" w:cs="Calibri Light" w:asciiTheme="majorHAnsi" w:cstheme="majorHAnsi" w:hAnsiTheme="majorHAnsi"/>
          <w:highlight w:val="cyan"/>
        </w:rPr>
      </w:pPr>
      <w:r>
        <w:rPr>
          <w:rFonts w:cs="Calibri Light" w:cstheme="majorHAnsi" w:ascii="Calibri Light" w:hAnsi="Calibri Light"/>
          <w:highlight w:val="cyan"/>
        </w:rPr>
      </w:r>
    </w:p>
    <w:p>
      <w:pPr>
        <w:pStyle w:val="Estilo1-A2MK"/>
        <w:spacing w:lineRule="auto" w:line="276" w:before="0" w:after="120"/>
        <w:ind w:hanging="502" w:left="720"/>
        <w:rPr>
          <w:rFonts w:ascii="Calibri Light" w:hAnsi="Calibri Light" w:eastAsia="Times New Roman" w:cs="Calibri Light" w:asciiTheme="majorHAnsi" w:cstheme="majorHAnsi" w:hAnsiTheme="majorHAnsi"/>
        </w:rPr>
      </w:pPr>
      <w:r>
        <w:rPr>
          <w:rFonts w:eastAsia="Times New Roman" w:cs="Calibri Light" w:ascii="Calibri Light" w:hAnsi="Calibri Light" w:asciiTheme="majorHAnsi" w:cstheme="majorHAnsi" w:hAnsiTheme="majorHAnsi"/>
        </w:rPr>
        <w:t xml:space="preserve">Коммутаторы сети хранения данных </w:t>
      </w:r>
    </w:p>
    <w:p>
      <w:pPr>
        <w:pStyle w:val="Estilo1-A2MK"/>
        <w:numPr>
          <w:ilvl w:val="0"/>
          <w:numId w:val="0"/>
        </w:numPr>
        <w:ind w:hanging="360" w:left="502"/>
        <w:rPr>
          <w:rFonts w:ascii="Calibri Light" w:hAnsi="Calibri Light" w:eastAsia="Times New Roman" w:cs="Calibri Light" w:asciiTheme="majorHAnsi" w:cstheme="majorHAnsi" w:hAnsiTheme="majorHAnsi"/>
        </w:rPr>
      </w:pPr>
      <w:r>
        <w:rPr>
          <w:rFonts w:eastAsia="Times New Roman" w:cs="Calibri Light" w:ascii="Calibri Light" w:hAnsi="Calibri Light" w:asciiTheme="majorHAnsi" w:cstheme="majorHAnsi" w:hAnsiTheme="majorHAnsi"/>
        </w:rPr>
        <w:t>В комплект поставки должны входить не менее 4 (четырех) коммутаторов сети хранения данных.</w:t>
      </w:r>
    </w:p>
    <w:p>
      <w:pPr>
        <w:pStyle w:val="ListParagraph"/>
        <w:numPr>
          <w:ilvl w:val="0"/>
          <w:numId w:val="0"/>
        </w:numPr>
        <w:spacing w:before="120" w:after="120"/>
        <w:ind w:hanging="709" w:left="709"/>
        <w:contextualSpacing/>
        <w:jc w:val="both"/>
        <w:outlineLvl w:val="0"/>
        <w:rPr>
          <w:rFonts w:ascii="Calibri Light" w:hAnsi="Calibri Light" w:eastAsia="Times New Roman" w:cs="Calibri Light" w:asciiTheme="majorHAnsi" w:cstheme="majorHAnsi" w:hAnsiTheme="majorHAnsi"/>
        </w:rPr>
      </w:pPr>
      <w:r>
        <w:rPr>
          <w:rFonts w:eastAsia="Times New Roman" w:cs="Calibri Light" w:ascii="Calibri Light" w:hAnsi="Calibri Light" w:asciiTheme="majorHAnsi" w:cstheme="majorHAnsi" w:hAnsiTheme="majorHAnsi"/>
        </w:rPr>
        <w:t>Каждый поставляемый коммутатор сети хранения данных должен соответствовать следующим техническим требованиям:</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4.1.</w:t>
        <w:tab/>
        <w:t>Иметь не менее 48 (сорока восьми) активированных портов FC 32 Gb/s,  укомплектованных SFP+ SEC SWL модулями, поддерживающими скорости 8, 16, 32 Gb/s FC.</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w:t>
        <w:tab/>
        <w:t>Иметь 2 порта, укомплектованных SFP+ ELW SEC модулями, поддерживающими скорость 32 Gb/s FC на расстояние до 25 км.</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4.3.</w:t>
        <w:tab/>
        <w:t>Иметь в комплекте поставки соединительные оптические кабели не менее OM3 LC/LC длинной не менее 5 м – не менее 48 шт.</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4.4.</w:t>
        <w:tab/>
        <w:t>Поддерживать опциональное расширение до не менее 8 (восьми) QSFP+ портов, каждый из которых должен поддерживать работу в режиме double-density 16 x 64Gb/s FC при их активации и установке соответствующих QSFP+ модулей.</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4.5.</w:t>
        <w:tab/>
        <w:t>Поддерживать установку в стандартный 19 дюймовый монтажный шкаф.</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4.6.</w:t>
        <w:tab/>
        <w:t>Иметь высоту корпуса коммутатора не более 1 (одного) монтажных единиц (Unit, Rack Unit, U).</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4.7.</w:t>
        <w:tab/>
        <w:t>Полноценная архитектура с максимальным количеством коммутаторов 239 (двести тридцать девять).</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4.8.</w:t>
        <w:tab/>
        <w:t>Иметь суммарную пропускную способность коммутатора (bandwidth) не менее 4Tb/s.</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4.9.</w:t>
        <w:tab/>
        <w:t>Иметь резервированные блоки питания с поддержкой «горячей» замены 220В.</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4.10.</w:t>
        <w:tab/>
        <w:t>Поддерживать обновление программного обеспечения коммутатора без прерывания функционирования SAN-фабрики.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4.11.</w:t>
        <w:tab/>
        <w:t>Поддерживать объединение в фабрику с существующими коммутаторами SAN Заказчика посредством прямого (без использования дополнительного оборудования) подключения к ним через свои порты, работающие в режиме E port.</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4.12.</w:t>
        <w:tab/>
        <w:t>Скорость линии 8,5 Гбит/с, полный дуплекс; скорость линии 10,53 Гбит/с, полный дуплекс; скорость линии 14,025 Гбит/с, полный дуплекс; скорость линии 28,05 Гбит/с, полный дуплекс; скорость линии 57,8 Гбит/с, полный дуплекс; автоматическое определение скоростей портов 8, 10, 16, 32 и 64G. 10G опционально программируется на фиксированную скорость порта.</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4.13.</w:t>
        <w:tab/>
        <w:t xml:space="preserve">Frame-based с портами SFP+ до восьми на канал ISL; до 512 Гбит/с на канал ISL. </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4.14.</w:t>
        <w:tab/>
        <w:t>Задержка для локально коммутируемых портов составляет 460 нс.</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4.15.</w:t>
        <w:tab/>
        <w:t>Максимальный размер кадра: не более  2112 байт.</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4.16.</w:t>
        <w:tab/>
        <w:t>Буфер кадра : 24К на коммутатор.</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lang w:val="en-US"/>
        </w:rPr>
      </w:pPr>
      <w:r>
        <w:rPr>
          <w:rFonts w:eastAsia="Times New Roman" w:cs="Calibri Light" w:ascii="Calibri Light" w:hAnsi="Calibri Light" w:cstheme="majorHAnsi"/>
          <w:lang w:val="en-US"/>
        </w:rPr>
        <w:t>4.17.</w:t>
        <w:tab/>
      </w:r>
      <w:r>
        <w:rPr>
          <w:rFonts w:eastAsia="Times New Roman" w:cs="Calibri Light" w:ascii="Calibri Light" w:hAnsi="Calibri Light" w:cstheme="majorHAnsi"/>
        </w:rPr>
        <w:t>Поддерживать</w:t>
      </w:r>
      <w:r>
        <w:rPr>
          <w:rFonts w:eastAsia="Times New Roman" w:cs="Calibri Light" w:ascii="Calibri Light" w:hAnsi="Calibri Light" w:cstheme="majorHAnsi"/>
          <w:lang w:val="en-US"/>
        </w:rPr>
        <w:t xml:space="preserve"> </w:t>
      </w:r>
      <w:r>
        <w:rPr>
          <w:rFonts w:eastAsia="Times New Roman" w:cs="Calibri Light" w:ascii="Calibri Light" w:hAnsi="Calibri Light" w:cstheme="majorHAnsi"/>
        </w:rPr>
        <w:t>типы</w:t>
      </w:r>
      <w:r>
        <w:rPr>
          <w:rFonts w:eastAsia="Times New Roman" w:cs="Calibri Light" w:ascii="Calibri Light" w:hAnsi="Calibri Light" w:cstheme="majorHAnsi"/>
          <w:lang w:val="en-US"/>
        </w:rPr>
        <w:t xml:space="preserve"> </w:t>
      </w:r>
      <w:r>
        <w:rPr>
          <w:rFonts w:eastAsia="Times New Roman" w:cs="Calibri Light" w:ascii="Calibri Light" w:hAnsi="Calibri Light" w:cstheme="majorHAnsi"/>
        </w:rPr>
        <w:t>портов</w:t>
      </w:r>
      <w:r>
        <w:rPr>
          <w:rFonts w:eastAsia="Times New Roman" w:cs="Calibri Light" w:ascii="Calibri Light" w:hAnsi="Calibri Light" w:cstheme="majorHAnsi"/>
          <w:lang w:val="en-US"/>
        </w:rPr>
        <w:t>: D_Port (ClearLink Diagnostic Port), E_Port, F_Port, M_Port, EX_Ports.</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lang w:val="en-US"/>
        </w:rPr>
      </w:pPr>
      <w:r>
        <w:rPr>
          <w:rFonts w:eastAsia="Times New Roman" w:cs="Calibri Light" w:ascii="Calibri Light" w:hAnsi="Calibri Light" w:cstheme="majorHAnsi"/>
          <w:lang w:val="en-US"/>
        </w:rPr>
        <w:t>4.18.</w:t>
        <w:tab/>
      </w:r>
      <w:r>
        <w:rPr>
          <w:rFonts w:eastAsia="Times New Roman" w:cs="Calibri Light" w:ascii="Calibri Light" w:hAnsi="Calibri Light" w:cstheme="majorHAnsi"/>
        </w:rPr>
        <w:t>Поддерживать</w:t>
      </w:r>
      <w:r>
        <w:rPr>
          <w:rFonts w:eastAsia="Times New Roman" w:cs="Calibri Light" w:ascii="Calibri Light" w:hAnsi="Calibri Light" w:cstheme="majorHAnsi"/>
          <w:lang w:val="en-US"/>
        </w:rPr>
        <w:t xml:space="preserve"> </w:t>
      </w:r>
      <w:r>
        <w:rPr>
          <w:rFonts w:eastAsia="Times New Roman" w:cs="Calibri Light" w:ascii="Calibri Light" w:hAnsi="Calibri Light" w:cstheme="majorHAnsi"/>
        </w:rPr>
        <w:t>типы</w:t>
      </w:r>
      <w:r>
        <w:rPr>
          <w:rFonts w:eastAsia="Times New Roman" w:cs="Calibri Light" w:ascii="Calibri Light" w:hAnsi="Calibri Light" w:cstheme="majorHAnsi"/>
          <w:lang w:val="en-US"/>
        </w:rPr>
        <w:t xml:space="preserve"> </w:t>
      </w:r>
      <w:r>
        <w:rPr>
          <w:rFonts w:eastAsia="Times New Roman" w:cs="Calibri Light" w:ascii="Calibri Light" w:hAnsi="Calibri Light" w:cstheme="majorHAnsi"/>
        </w:rPr>
        <w:t>трансиверов</w:t>
      </w:r>
      <w:r>
        <w:rPr>
          <w:rFonts w:eastAsia="Times New Roman" w:cs="Calibri Light" w:ascii="Calibri Light" w:hAnsi="Calibri Light" w:cstheme="majorHAnsi"/>
          <w:lang w:val="en-US"/>
        </w:rPr>
        <w:t>: 64G FC SFP+ LC connector: SWL 32G FC SFP+ LC connector: SWL, LWL, ELWL 10G FC SFP+ LC connector: SWL, LWL 2x64G FC SFP-DD SN connector: SWL.</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4.19.</w:t>
        <w:tab/>
        <w:t>Поддерживать зонирование и списки доступа.</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4.20.</w:t>
        <w:tab/>
        <w:t>Поддерживать объединение до 8 физических FC портов в один логический канал с автоматической балансировкой трафика между ними на уровне отдельных фреймов при межкоммутаторном взаимодействии (на ISL соединениях).</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4.21.</w:t>
        <w:tab/>
        <w:t>Поддерживать управление посредством web-интерфейса, а также посредством CLI.</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4.22.</w:t>
        <w:tab/>
        <w:t>Иметь не менее 1 (одного) USB порта (mini-USB) и не менее 1 (одного)  Ethernet (RJ-45) для загрузки программного обеспечения коммутатора, загрузки и выгрузки конфигурации коммутатора.</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4.23.</w:t>
        <w:tab/>
        <w:t>Иметь функционал проприетарного ПО не ниже Enterprise Bundle (TRK, FV, EF, IR, CUP).</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4.24.</w:t>
        <w:tab/>
        <w:t>Безопасность: DH-CHAP (между коммутаторами и конечными устройствами); аутентификация коммутатора FCAP; HTTPS; фильтрация IP; LDAP с IPv6; OpenLDAP; Port Binding; RADIUS; TACACS+; определяемое пользователем управление доступом на основе ролей (RBAC); Secure Boot; Secure Copy (SCP); Secure Syslog; SFTP; SSH v2; SSL; Switch Binding; Trusted Switch.</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4.25.</w:t>
        <w:tab/>
        <w:t>Вентиляторы обдува должны быть расположены  по принципу Port Side Exhaust (Забор воздуха с стороны блоков питания и выдув с стороны портов).</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4.26.</w:t>
        <w:tab/>
        <w:t>Аппаратные и программные компоненты коммутатора сети хранения данных должны обеспечиваться подпиской на обновления сроком не менее 36 (тридцати шести) месяцев. Все лицензии должны иметь неограниченный по времени срок действия.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4.27.</w:t>
        <w:tab/>
        <w:t>Поставка с гарантийными обязательствами производителя в течении трехлетнего гарантийного срока c даты продажи конечному пользователю. Гарантийные обязательства производителя должны включать:</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4.27.1.</w:t>
        <w:tab/>
        <w:t>Круглосуточные консультации инженеров «горячей линии» производителя по вопросам восстановления работоспособности, эксплуатации оборудования и программного обеспечения в режиме реального времени;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4.27.2.</w:t>
        <w:tab/>
        <w:t>Замена неисправных аппаратных компонентов на месте эксплуатации авторизованными сервисными инженерами производителя/уполномоченными производителем на площадке заказчика на следующий рабочий день в случае наличия их на складе сервисного центра; в случае, если на складе сервисного центра необходимые комплектующие отсутствуют – замена должна осуществляться на позднее 15 дней с момента идентификации неисправного компонента.</w:t>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rPr>
          <w:rFonts w:ascii="Calibri Light" w:hAnsi="Calibri Light" w:cs="Calibri Light" w:asciiTheme="majorHAnsi" w:cstheme="majorHAnsi" w:hAnsiTheme="majorHAnsi"/>
        </w:rPr>
      </w:pPr>
      <w:r>
        <w:rPr>
          <w:rFonts w:cs="Calibri Light" w:cstheme="majorHAnsi" w:ascii="Calibri Light" w:hAnsi="Calibri Light"/>
        </w:rPr>
      </w:r>
    </w:p>
    <w:p>
      <w:pPr>
        <w:pStyle w:val="Normal"/>
        <w:spacing w:lineRule="exact" w:line="1"/>
        <w:rPr>
          <w:rFonts w:ascii="Calibri Light" w:hAnsi="Calibri Light" w:cs="Calibri Light" w:asciiTheme="majorHAnsi" w:cstheme="majorHAnsi" w:hAnsiTheme="majorHAnsi"/>
        </w:rPr>
      </w:pPr>
      <w:r>
        <w:rPr>
          <w:rFonts w:cs="Calibri Light" w:cstheme="majorHAnsi" w:ascii="Calibri Light" w:hAnsi="Calibri Light"/>
        </w:rPr>
      </w:r>
    </w:p>
    <w:p>
      <w:pPr>
        <w:pStyle w:val="Estilo1-A2MK"/>
        <w:numPr>
          <w:ilvl w:val="0"/>
          <w:numId w:val="0"/>
        </w:numPr>
        <w:spacing w:lineRule="auto" w:line="276" w:before="0" w:after="120"/>
        <w:ind w:hanging="0" w:left="720"/>
        <w:rPr>
          <w:rFonts w:ascii="Calibri Light" w:hAnsi="Calibri Light" w:eastAsia="Times New Roman" w:cs="Calibri Light" w:asciiTheme="majorHAnsi" w:cstheme="majorHAnsi" w:hAnsiTheme="majorHAnsi"/>
        </w:rPr>
      </w:pPr>
      <w:r>
        <w:rPr>
          <w:rFonts w:eastAsia="Times New Roman" w:cs="Calibri Light" w:ascii="Calibri Light" w:hAnsi="Calibri Light" w:cstheme="majorHAnsi"/>
        </w:rPr>
        <w:t>5.</w:t>
        <w:tab/>
        <w:t>Требования к условиям предоставления предложения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5.1.</w:t>
        <w:tab/>
        <w:t>Предлагаемое оборудование и программное обеспечение должно быть новым (не бывшим в употреблении), производства не ранее 2025 г. и соответствовать мировым стандартам.</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5.2.</w:t>
        <w:tab/>
        <w:t>Все компоненты предлагаемого решения должны по техническим характеристикам (параметрам) соответствовать или быть лучше технических характеристик (параметров), указанных в настоящем техническом задании в рамках выделенного бюджета.</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5.3.</w:t>
        <w:tab/>
        <w:t>В техническом предложении должен быть представлен полный перечень, количество и технические характеристики каждого наименования аппаратного и программного обеспечения (лицензий) в составе предлагаемого комплекта, а также структурная схема с указанием всех основных компонентов и каналов связи SAN.</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lang w:val="en-US"/>
        </w:rPr>
      </w:pPr>
      <w:r>
        <w:rPr>
          <w:rFonts w:eastAsia="Times New Roman" w:cs="Calibri Light" w:ascii="Calibri Light" w:hAnsi="Calibri Light" w:cstheme="majorHAnsi"/>
        </w:rPr>
        <w:t>5.4.</w:t>
        <w:tab/>
        <w:t>Исполнитель должен предоставить решение и оказать всяческую техническую поддержку по выполнению требований данного технического задания в полном объёме.</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5.5.</w:t>
        <w:tab/>
        <w:t xml:space="preserve">Оборудование должно быть производства компании </w:t>
      </w:r>
      <w:r>
        <w:rPr>
          <w:rFonts w:eastAsia="Times New Roman" w:cs="Calibri Light" w:ascii="Calibri Light" w:hAnsi="Calibri Light" w:cstheme="majorHAnsi"/>
          <w:lang w:val="en-US"/>
        </w:rPr>
        <w:t>IBM</w:t>
      </w:r>
      <w:r>
        <w:rPr>
          <w:rFonts w:eastAsia="Times New Roman" w:cs="Calibri Light" w:ascii="Calibri Light" w:hAnsi="Calibri Light" w:cstheme="majorHAnsi"/>
        </w:rPr>
        <w:t xml:space="preserve">, допускаются аналоги производства </w:t>
      </w:r>
      <w:r>
        <w:rPr>
          <w:rFonts w:eastAsia="Times New Roman" w:cs="Calibri Light" w:ascii="Calibri Light" w:hAnsi="Calibri Light" w:cstheme="majorHAnsi"/>
          <w:lang w:val="en-US"/>
        </w:rPr>
        <w:t>Cisco</w:t>
      </w:r>
      <w:r>
        <w:rPr>
          <w:rFonts w:eastAsia="Times New Roman" w:cs="Calibri Light" w:ascii="Calibri Light" w:hAnsi="Calibri Light" w:cstheme="majorHAnsi"/>
        </w:rPr>
        <w:t>.</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cstheme="majorHAnsi" w:ascii="Calibri Light" w:hAnsi="Calibri Light"/>
        </w:rPr>
      </w:r>
    </w:p>
    <w:p>
      <w:pPr>
        <w:pStyle w:val="Estilo1-A2MK"/>
        <w:numPr>
          <w:ilvl w:val="0"/>
          <w:numId w:val="0"/>
        </w:numPr>
        <w:ind w:hanging="0" w:left="502"/>
        <w:rPr>
          <w:rFonts w:ascii="Calibri-Light" w:hAnsi="Calibri-Light"/>
        </w:rPr>
      </w:pPr>
      <w:r>
        <w:rPr>
          <w:rFonts w:ascii="Calibri-Light" w:hAnsi="Calibri-Light"/>
        </w:rPr>
        <w:t>6.</w:t>
        <w:tab/>
        <w:tab/>
        <w:t>Требования к новизне, комплектации и качеству поставляемого оборудования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6.1.</w:t>
        <w:tab/>
        <w:t>Поставляемое в рамках проекта оборудование и входящие в его состав компоненты, должны быть новыми, т.е. не бывшими в эксплуатации, в ремонте, не восстановленными - в том числе путём осуществления замены составных частей не были восстановлены потребительские свойства, не находящимися на хранении, не прошедшими переконсервацию, произведёнными не ранее 2025 года и соответствовать мировым стандартам.</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6.2.</w:t>
        <w:tab/>
        <w:t>Исполнитель должен гарантировать качество оборудования и его компонентов, и нести ответственность перед Заказчиком за выявленные недостатки.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6.3.</w:t>
        <w:tab/>
        <w:t>Исполнитель должен предоставить полностью укомплектованное работоспособное оборудование и при необходимости, предложить дополнительные модули, продукты и услуги, по каким-либо причинам не учтенные Заказчиком, но обязательные для обеспечения полноты использования предлагаемой конфигурации.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6.4.</w:t>
        <w:tab/>
        <w:t>При обнаружении непригодности или недоброкачественности материалов, оборудования Исполнитель должен обеспечить замену дефектного оборудования за свой счет.</w:t>
      </w:r>
    </w:p>
    <w:p>
      <w:pPr>
        <w:pStyle w:val="Estilo1-A2MK"/>
        <w:numPr>
          <w:ilvl w:val="0"/>
          <w:numId w:val="0"/>
        </w:numPr>
        <w:ind w:hanging="0" w:left="502"/>
        <w:rPr>
          <w:rFonts w:ascii="Calibri Light" w:hAnsi="Calibri Light"/>
        </w:rPr>
      </w:pPr>
      <w:r>
        <w:rPr>
          <w:rFonts w:ascii="Calibri Light" w:hAnsi="Calibri Light"/>
        </w:rPr>
        <w:t>7.</w:t>
        <w:tab/>
        <w:tab/>
        <w:t>Требования по поставке, упаковке и маркировке</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7.1.</w:t>
        <w:tab/>
        <w:t>Требования к страхованию не предъявляются, однако Поставщик будет нести ответственность за сохранность комплектов оборудования и программного обеспечения до момента их официальной передачи Заказчику.</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7.2.</w:t>
        <w:tab/>
        <w:t>Комплекты оборудования и SAN должны быть:</w:t>
      </w:r>
    </w:p>
    <w:p>
      <w:pPr>
        <w:pStyle w:val="ListParagraph"/>
        <w:numPr>
          <w:ilvl w:val="0"/>
          <w:numId w:val="2"/>
        </w:numPr>
        <w:tabs>
          <w:tab w:val="clear" w:pos="720"/>
          <w:tab w:val="left" w:pos="1701" w:leader="none"/>
        </w:tabs>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упакованы в соответствии с требованиями действующего законодательства РУз;</w:t>
      </w:r>
    </w:p>
    <w:p>
      <w:pPr>
        <w:pStyle w:val="ListParagraph"/>
        <w:numPr>
          <w:ilvl w:val="0"/>
          <w:numId w:val="2"/>
        </w:numPr>
        <w:tabs>
          <w:tab w:val="clear" w:pos="720"/>
          <w:tab w:val="left" w:pos="1701" w:leader="none"/>
        </w:tabs>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промаркированы в соответствии с международными стандартами и требованиями производителя;</w:t>
      </w:r>
    </w:p>
    <w:p>
      <w:pPr>
        <w:pStyle w:val="ListParagraph"/>
        <w:numPr>
          <w:ilvl w:val="0"/>
          <w:numId w:val="2"/>
        </w:numPr>
        <w:tabs>
          <w:tab w:val="clear" w:pos="720"/>
          <w:tab w:val="left" w:pos="1701" w:leader="none"/>
        </w:tabs>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укомплектованы в полном объеме для сдачи проекта «под ключ» в соответствии с предусмотренными изготовителем комплектующими, блоками и модулями;</w:t>
      </w:r>
    </w:p>
    <w:p>
      <w:pPr>
        <w:pStyle w:val="ListParagraph"/>
        <w:numPr>
          <w:ilvl w:val="0"/>
          <w:numId w:val="2"/>
        </w:numPr>
        <w:tabs>
          <w:tab w:val="clear" w:pos="720"/>
          <w:tab w:val="left" w:pos="1701" w:leader="none"/>
        </w:tabs>
        <w:spacing w:before="120" w:after="120"/>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содержать все признаки оригинальности, установленные производителем (голограммы, защитные пломбы, марки, содержащие все элементы защиты от подделок).</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7.3.</w:t>
        <w:tab/>
        <w:t>Оборудование поставляется в заводской упаковке. Упаковка должна обеспечивать полную сохранность оборудования, с учётом неоднократной перегрузки оборудования и погодных условий. Стоимость тары и упаковки входит в цену товара и не подлежит возврату.</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7.4.</w:t>
        <w:tab/>
        <w:t>Оборудование должно быть сертифицировано и легализовано в соответствии с нормативно-правовыми актами Республики Узбекистан.</w:t>
      </w:r>
    </w:p>
    <w:p>
      <w:pPr>
        <w:pStyle w:val="Estilo1-A2MK"/>
        <w:numPr>
          <w:ilvl w:val="0"/>
          <w:numId w:val="0"/>
        </w:numPr>
        <w:ind w:hanging="0" w:left="0"/>
        <w:rPr>
          <w:rFonts w:ascii="Calibri Light" w:hAnsi="Calibri Light" w:asciiTheme="majorHAnsi" w:hAnsiTheme="majorHAnsi"/>
        </w:rPr>
      </w:pPr>
      <w:r>
        <w:rPr>
          <w:rFonts w:eastAsia="Times New Roman" w:cs="Calibri Light" w:ascii="Calibri Light" w:hAnsi="Calibri Light" w:cstheme="majorHAnsi"/>
        </w:rPr>
        <w:t>8.</w:t>
        <w:tab/>
        <w:t>Требования к услугам по монтажу, настройке и пуско-наладке</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8.1.</w:t>
        <w:tab/>
        <w:t>В рамках текущего конкурса предполагаемый участник должен:</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8.1.1.</w:t>
        <w:tab/>
        <w:t>Выполнить поставку, монтаж, настройку и пусконаладочные работы коммутаторов сети хранения данных на условиях «под ключ».</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8.1.2.</w:t>
        <w:tab/>
        <w:t>Изучить существующую SAN сеть, провести аудит конфигураций коммутаторов, проверить корректность работы выбора резервных линков (multi-pathing) перед подключением и настройкой новых коммутаторов.</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8.1.3.</w:t>
        <w:tab/>
        <w:t>Объединить новые коммутаторы с существующими фабриками SAN Основной площадки и создать новые фабрики SAN на Резервной площадке без остановки подсистем Продукционной и Резервной сред.</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8.1.4.</w:t>
        <w:tab/>
        <w:t>Подключить выделенные коммутаторы Основной и Резервной площадок между собой с настройкой маршрутизации, без слияния конфигураций коммутаторов, настроив конфигурации таким образом, чтобы минимизировать влияния Продукционной и Резервной сред друг на друга, обеспечив попарно связь фабрик на основной и резервной площадках без формирования единых доменов отказа в рамках связываемых пар фабрик в части надёжности передачи трафика.</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8.1.5.</w:t>
        <w:tab/>
        <w:t>Повысить отказоустойчивость линий связи при подключении поставляемых коммутаторов к фабрикам, при этом обеспечить балансировку трафика для линий связи между парой коммутаторов на уровне фреймов.</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8.1.6.</w:t>
        <w:tab/>
        <w:t>Произвести масштабирование существующих подсистем (Продукционной и Резервной) в сторону увеличения емкости и быстродействия, с полноценной интеграцией нового и существующего оборудования в единый аппаратно-программный комплекс.</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8.1.7.</w:t>
        <w:tab/>
        <w:t>Установить поставляемое оборудование и произвести лицензирование, настройку и конфигурирование компонентов в рамках требований производителя оборудования, а также интеграцию нового оборудования в существующие комплексы с обязательным согласованием с Заказчиком графика и пошагового плана проведения работ.</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8.2.</w:t>
        <w:tab/>
        <w:t>Работы по проекту производятся и принимаются поэтапно:</w:t>
      </w:r>
    </w:p>
    <w:tbl>
      <w:tblPr>
        <w:tblW w:w="5000" w:type="pct"/>
        <w:jc w:val="left"/>
        <w:tblInd w:w="55" w:type="dxa"/>
        <w:tblLayout w:type="fixed"/>
        <w:tblCellMar>
          <w:top w:w="55" w:type="dxa"/>
          <w:left w:w="55" w:type="dxa"/>
          <w:bottom w:w="55" w:type="dxa"/>
          <w:right w:w="55" w:type="dxa"/>
        </w:tblCellMar>
        <w:tblLook w:val="04a0" w:noHBand="0" w:noVBand="1" w:firstColumn="1" w:lastRow="0" w:lastColumn="0" w:firstRow="1"/>
      </w:tblPr>
      <w:tblGrid>
        <w:gridCol w:w="577"/>
        <w:gridCol w:w="2582"/>
        <w:gridCol w:w="2300"/>
        <w:gridCol w:w="2187"/>
        <w:gridCol w:w="2549"/>
      </w:tblGrid>
      <w:tr>
        <w:trPr>
          <w:trHeight w:val="1039" w:hRule="atLeast"/>
        </w:trPr>
        <w:tc>
          <w:tcPr>
            <w:tcW w:w="577" w:type="dxa"/>
            <w:tcBorders>
              <w:top w:val="single" w:sz="4" w:space="0" w:color="000000"/>
              <w:left w:val="single" w:sz="4" w:space="0" w:color="000000"/>
              <w:bottom w:val="single" w:sz="4" w:space="0" w:color="000000"/>
            </w:tcBorders>
            <w:vAlign w:val="center"/>
          </w:tcPr>
          <w:p>
            <w:pPr>
              <w:pStyle w:val="TableContents"/>
              <w:spacing w:before="0" w:after="200"/>
              <w:jc w:val="center"/>
              <w:rPr/>
            </w:pPr>
            <w:r>
              <w:rPr/>
              <w:t xml:space="preserve">№ </w:t>
            </w:r>
            <w:r>
              <w:rPr/>
              <w:t>п/п</w:t>
            </w:r>
          </w:p>
        </w:tc>
        <w:tc>
          <w:tcPr>
            <w:tcW w:w="2582" w:type="dxa"/>
            <w:tcBorders>
              <w:top w:val="single" w:sz="4" w:space="0" w:color="000000"/>
              <w:left w:val="single" w:sz="4" w:space="0" w:color="000000"/>
              <w:bottom w:val="single" w:sz="4" w:space="0" w:color="000000"/>
            </w:tcBorders>
            <w:vAlign w:val="center"/>
          </w:tcPr>
          <w:p>
            <w:pPr>
              <w:pStyle w:val="TableContents"/>
              <w:spacing w:before="0" w:after="200"/>
              <w:jc w:val="center"/>
              <w:rPr/>
            </w:pPr>
            <w:r>
              <w:rPr/>
              <w:t>Наименование работ</w:t>
            </w:r>
          </w:p>
        </w:tc>
        <w:tc>
          <w:tcPr>
            <w:tcW w:w="2300" w:type="dxa"/>
            <w:tcBorders>
              <w:top w:val="single" w:sz="4" w:space="0" w:color="000000"/>
              <w:left w:val="single" w:sz="4" w:space="0" w:color="000000"/>
              <w:bottom w:val="single" w:sz="4" w:space="0" w:color="000000"/>
            </w:tcBorders>
            <w:vAlign w:val="center"/>
          </w:tcPr>
          <w:p>
            <w:pPr>
              <w:pStyle w:val="TableContents"/>
              <w:spacing w:before="0" w:after="200"/>
              <w:jc w:val="center"/>
              <w:rPr/>
            </w:pPr>
            <w:r>
              <w:rPr/>
              <w:t>Начало работ</w:t>
            </w:r>
          </w:p>
        </w:tc>
        <w:tc>
          <w:tcPr>
            <w:tcW w:w="2187" w:type="dxa"/>
            <w:tcBorders>
              <w:top w:val="single" w:sz="4" w:space="0" w:color="000000"/>
              <w:left w:val="single" w:sz="4" w:space="0" w:color="000000"/>
              <w:bottom w:val="single" w:sz="4" w:space="0" w:color="000000"/>
            </w:tcBorders>
            <w:vAlign w:val="center"/>
          </w:tcPr>
          <w:p>
            <w:pPr>
              <w:pStyle w:val="TableContents"/>
              <w:spacing w:before="0" w:after="200"/>
              <w:jc w:val="center"/>
              <w:rPr/>
            </w:pPr>
            <w:r>
              <w:rPr/>
              <w:t>Окончание работ</w:t>
            </w:r>
          </w:p>
        </w:tc>
        <w:tc>
          <w:tcPr>
            <w:tcW w:w="2549" w:type="dxa"/>
            <w:tcBorders>
              <w:top w:val="single" w:sz="4" w:space="0" w:color="000000"/>
              <w:left w:val="single" w:sz="4" w:space="0" w:color="000000"/>
              <w:bottom w:val="single" w:sz="4" w:space="0" w:color="000000"/>
              <w:right w:val="single" w:sz="4" w:space="0" w:color="000000"/>
            </w:tcBorders>
            <w:vAlign w:val="center"/>
          </w:tcPr>
          <w:p>
            <w:pPr>
              <w:pStyle w:val="TableContents"/>
              <w:spacing w:before="0" w:after="200"/>
              <w:jc w:val="center"/>
              <w:rPr/>
            </w:pPr>
            <w:r>
              <w:rPr/>
              <w:t>Документ, подтверждающий окончание работ</w:t>
            </w:r>
          </w:p>
        </w:tc>
      </w:tr>
      <w:tr>
        <w:trPr/>
        <w:tc>
          <w:tcPr>
            <w:tcW w:w="577" w:type="dxa"/>
            <w:tcBorders>
              <w:left w:val="single" w:sz="4" w:space="0" w:color="000000"/>
              <w:bottom w:val="single" w:sz="4" w:space="0" w:color="000000"/>
            </w:tcBorders>
            <w:vAlign w:val="center"/>
          </w:tcPr>
          <w:p>
            <w:pPr>
              <w:pStyle w:val="TableContents"/>
              <w:spacing w:before="0" w:after="200"/>
              <w:jc w:val="center"/>
              <w:rPr/>
            </w:pPr>
            <w:r>
              <w:rPr/>
              <w:t>1</w:t>
            </w:r>
          </w:p>
        </w:tc>
        <w:tc>
          <w:tcPr>
            <w:tcW w:w="2582" w:type="dxa"/>
            <w:tcBorders>
              <w:left w:val="single" w:sz="4" w:space="0" w:color="000000"/>
              <w:bottom w:val="single" w:sz="4" w:space="0" w:color="000000"/>
            </w:tcBorders>
            <w:vAlign w:val="center"/>
          </w:tcPr>
          <w:p>
            <w:pPr>
              <w:pStyle w:val="TableContents"/>
              <w:spacing w:before="0" w:after="200"/>
              <w:jc w:val="center"/>
              <w:rPr/>
            </w:pPr>
            <w:r>
              <w:rPr/>
              <w:t>Поставка оборудования</w:t>
            </w:r>
          </w:p>
        </w:tc>
        <w:tc>
          <w:tcPr>
            <w:tcW w:w="2300" w:type="dxa"/>
            <w:tcBorders>
              <w:left w:val="single" w:sz="4" w:space="0" w:color="000000"/>
              <w:bottom w:val="single" w:sz="4" w:space="0" w:color="000000"/>
            </w:tcBorders>
            <w:vAlign w:val="center"/>
          </w:tcPr>
          <w:p>
            <w:pPr>
              <w:pStyle w:val="TableContents"/>
              <w:spacing w:before="0" w:after="200"/>
              <w:jc w:val="center"/>
              <w:rPr/>
            </w:pPr>
            <w:r>
              <w:rPr/>
              <w:t>Дата подписания Договора</w:t>
            </w:r>
          </w:p>
        </w:tc>
        <w:tc>
          <w:tcPr>
            <w:tcW w:w="2187" w:type="dxa"/>
            <w:tcBorders>
              <w:left w:val="single" w:sz="4" w:space="0" w:color="000000"/>
              <w:bottom w:val="single" w:sz="4" w:space="0" w:color="000000"/>
            </w:tcBorders>
            <w:vAlign w:val="center"/>
          </w:tcPr>
          <w:p>
            <w:pPr>
              <w:pStyle w:val="TableContents"/>
              <w:spacing w:before="0" w:after="200"/>
              <w:jc w:val="center"/>
              <w:rPr/>
            </w:pPr>
            <w:r>
              <w:rPr/>
              <w:t xml:space="preserve">По истечении </w:t>
            </w:r>
            <w:r>
              <w:rPr/>
              <w:t>6</w:t>
            </w:r>
            <w:r>
              <w:rPr/>
              <w:t>0 рабочих дней с даты подписания Договора</w:t>
            </w:r>
          </w:p>
        </w:tc>
        <w:tc>
          <w:tcPr>
            <w:tcW w:w="2549" w:type="dxa"/>
            <w:tcBorders>
              <w:left w:val="single" w:sz="4" w:space="0" w:color="000000"/>
              <w:bottom w:val="single" w:sz="4" w:space="0" w:color="000000"/>
              <w:right w:val="single" w:sz="4" w:space="0" w:color="000000"/>
            </w:tcBorders>
            <w:vAlign w:val="center"/>
          </w:tcPr>
          <w:p>
            <w:pPr>
              <w:pStyle w:val="TableContents"/>
              <w:spacing w:before="0" w:after="200"/>
              <w:jc w:val="center"/>
              <w:rPr/>
            </w:pPr>
            <w:r>
              <w:rPr/>
              <w:t>Акт приема-передачи оборудования согласно спецификации к Договору.</w:t>
            </w:r>
          </w:p>
        </w:tc>
      </w:tr>
      <w:tr>
        <w:trPr/>
        <w:tc>
          <w:tcPr>
            <w:tcW w:w="577" w:type="dxa"/>
            <w:tcBorders>
              <w:left w:val="single" w:sz="4" w:space="0" w:color="000000"/>
              <w:bottom w:val="single" w:sz="4" w:space="0" w:color="000000"/>
            </w:tcBorders>
            <w:vAlign w:val="center"/>
          </w:tcPr>
          <w:p>
            <w:pPr>
              <w:pStyle w:val="TableContents"/>
              <w:spacing w:before="0" w:after="200"/>
              <w:jc w:val="center"/>
              <w:rPr/>
            </w:pPr>
            <w:r>
              <w:rPr/>
              <w:t>2</w:t>
            </w:r>
          </w:p>
        </w:tc>
        <w:tc>
          <w:tcPr>
            <w:tcW w:w="2582" w:type="dxa"/>
            <w:tcBorders>
              <w:left w:val="single" w:sz="4" w:space="0" w:color="000000"/>
              <w:bottom w:val="single" w:sz="4" w:space="0" w:color="000000"/>
            </w:tcBorders>
            <w:vAlign w:val="center"/>
          </w:tcPr>
          <w:p>
            <w:pPr>
              <w:pStyle w:val="TableContents"/>
              <w:spacing w:before="0" w:after="200"/>
              <w:jc w:val="center"/>
              <w:rPr/>
            </w:pPr>
            <w:r>
              <w:rPr/>
              <w:t>Инсталляционные и пусконаладочные работы</w:t>
            </w:r>
          </w:p>
        </w:tc>
        <w:tc>
          <w:tcPr>
            <w:tcW w:w="2300" w:type="dxa"/>
            <w:tcBorders>
              <w:left w:val="single" w:sz="4" w:space="0" w:color="000000"/>
              <w:bottom w:val="single" w:sz="4" w:space="0" w:color="000000"/>
            </w:tcBorders>
            <w:vAlign w:val="center"/>
          </w:tcPr>
          <w:p>
            <w:pPr>
              <w:pStyle w:val="TableContents"/>
              <w:spacing w:before="0" w:after="200"/>
              <w:jc w:val="center"/>
              <w:rPr/>
            </w:pPr>
            <w:r>
              <w:rPr/>
              <w:t>Дата подписания Акта приема-передачи оборудования</w:t>
            </w:r>
          </w:p>
        </w:tc>
        <w:tc>
          <w:tcPr>
            <w:tcW w:w="2187" w:type="dxa"/>
            <w:tcBorders>
              <w:left w:val="single" w:sz="4" w:space="0" w:color="000000"/>
              <w:bottom w:val="single" w:sz="4" w:space="0" w:color="000000"/>
            </w:tcBorders>
            <w:vAlign w:val="center"/>
          </w:tcPr>
          <w:p>
            <w:pPr>
              <w:pStyle w:val="TableContents"/>
              <w:spacing w:before="0" w:after="200"/>
              <w:jc w:val="center"/>
              <w:rPr/>
            </w:pPr>
            <w:r>
              <w:rPr/>
              <w:t>По истечении 20 рабочих дней с даты подписания Акта приема-передачи оборудования</w:t>
            </w:r>
          </w:p>
        </w:tc>
        <w:tc>
          <w:tcPr>
            <w:tcW w:w="2549" w:type="dxa"/>
            <w:tcBorders>
              <w:left w:val="single" w:sz="4" w:space="0" w:color="000000"/>
              <w:bottom w:val="single" w:sz="4" w:space="0" w:color="000000"/>
              <w:right w:val="single" w:sz="4" w:space="0" w:color="000000"/>
            </w:tcBorders>
            <w:vAlign w:val="center"/>
          </w:tcPr>
          <w:p>
            <w:pPr>
              <w:pStyle w:val="TableContents"/>
              <w:spacing w:before="0" w:after="200"/>
              <w:jc w:val="center"/>
              <w:rPr/>
            </w:pPr>
            <w:r>
              <w:rPr/>
              <w:t>Акт ввода в опытную эксплуатацию</w:t>
            </w:r>
          </w:p>
        </w:tc>
      </w:tr>
      <w:tr>
        <w:trPr/>
        <w:tc>
          <w:tcPr>
            <w:tcW w:w="577" w:type="dxa"/>
            <w:tcBorders>
              <w:left w:val="single" w:sz="4" w:space="0" w:color="000000"/>
              <w:bottom w:val="single" w:sz="4" w:space="0" w:color="000000"/>
            </w:tcBorders>
            <w:vAlign w:val="center"/>
          </w:tcPr>
          <w:p>
            <w:pPr>
              <w:pStyle w:val="TableContents"/>
              <w:spacing w:before="0" w:after="200"/>
              <w:jc w:val="center"/>
              <w:rPr/>
            </w:pPr>
            <w:r>
              <w:rPr/>
              <w:t>3</w:t>
            </w:r>
          </w:p>
        </w:tc>
        <w:tc>
          <w:tcPr>
            <w:tcW w:w="2582" w:type="dxa"/>
            <w:tcBorders>
              <w:left w:val="single" w:sz="4" w:space="0" w:color="000000"/>
              <w:bottom w:val="single" w:sz="4" w:space="0" w:color="000000"/>
            </w:tcBorders>
            <w:vAlign w:val="center"/>
          </w:tcPr>
          <w:p>
            <w:pPr>
              <w:pStyle w:val="TableContents"/>
              <w:spacing w:before="0" w:after="200"/>
              <w:jc w:val="center"/>
              <w:rPr/>
            </w:pPr>
            <w:r>
              <w:rPr/>
              <w:t>Опытная эксплуатация*</w:t>
            </w:r>
          </w:p>
        </w:tc>
        <w:tc>
          <w:tcPr>
            <w:tcW w:w="2300" w:type="dxa"/>
            <w:tcBorders>
              <w:left w:val="single" w:sz="4" w:space="0" w:color="000000"/>
              <w:bottom w:val="single" w:sz="4" w:space="0" w:color="000000"/>
            </w:tcBorders>
            <w:vAlign w:val="center"/>
          </w:tcPr>
          <w:p>
            <w:pPr>
              <w:pStyle w:val="TableContents"/>
              <w:spacing w:before="0" w:after="200"/>
              <w:jc w:val="center"/>
              <w:rPr/>
            </w:pPr>
            <w:r>
              <w:rPr/>
              <w:t>Дата подписания Акта ввода в опытную эксплуатацию</w:t>
            </w:r>
          </w:p>
        </w:tc>
        <w:tc>
          <w:tcPr>
            <w:tcW w:w="2187" w:type="dxa"/>
            <w:tcBorders>
              <w:left w:val="single" w:sz="4" w:space="0" w:color="000000"/>
              <w:bottom w:val="single" w:sz="4" w:space="0" w:color="000000"/>
            </w:tcBorders>
            <w:vAlign w:val="center"/>
          </w:tcPr>
          <w:p>
            <w:pPr>
              <w:pStyle w:val="TableContents"/>
              <w:spacing w:before="0" w:after="200"/>
              <w:jc w:val="center"/>
              <w:rPr/>
            </w:pPr>
            <w:r>
              <w:rPr/>
              <w:t>По истечении 5 рабочих дней с даты подписания Акта ввода в опытную эксплуатацию</w:t>
            </w:r>
          </w:p>
        </w:tc>
        <w:tc>
          <w:tcPr>
            <w:tcW w:w="2549" w:type="dxa"/>
            <w:tcBorders>
              <w:left w:val="single" w:sz="4" w:space="0" w:color="000000"/>
              <w:bottom w:val="single" w:sz="4" w:space="0" w:color="000000"/>
              <w:right w:val="single" w:sz="4" w:space="0" w:color="000000"/>
            </w:tcBorders>
            <w:vAlign w:val="center"/>
          </w:tcPr>
          <w:p>
            <w:pPr>
              <w:pStyle w:val="TableContents"/>
              <w:spacing w:before="0" w:after="200"/>
              <w:jc w:val="center"/>
              <w:rPr/>
            </w:pPr>
            <w:r>
              <w:rPr/>
              <w:t>Отчет по результатам опытной эксплуатации с Перечнем замечаний Заказчика и со сроком их устранения</w:t>
            </w:r>
          </w:p>
        </w:tc>
      </w:tr>
      <w:tr>
        <w:trPr/>
        <w:tc>
          <w:tcPr>
            <w:tcW w:w="577" w:type="dxa"/>
            <w:tcBorders>
              <w:left w:val="single" w:sz="4" w:space="0" w:color="000000"/>
              <w:bottom w:val="single" w:sz="4" w:space="0" w:color="000000"/>
            </w:tcBorders>
            <w:vAlign w:val="center"/>
          </w:tcPr>
          <w:p>
            <w:pPr>
              <w:pStyle w:val="TableContents"/>
              <w:spacing w:before="0" w:after="200"/>
              <w:jc w:val="center"/>
              <w:rPr/>
            </w:pPr>
            <w:r>
              <w:rPr/>
              <w:t>4</w:t>
            </w:r>
          </w:p>
        </w:tc>
        <w:tc>
          <w:tcPr>
            <w:tcW w:w="2582" w:type="dxa"/>
            <w:tcBorders>
              <w:left w:val="single" w:sz="4" w:space="0" w:color="000000"/>
              <w:bottom w:val="single" w:sz="4" w:space="0" w:color="000000"/>
            </w:tcBorders>
            <w:vAlign w:val="center"/>
          </w:tcPr>
          <w:p>
            <w:pPr>
              <w:pStyle w:val="TableContents"/>
              <w:spacing w:before="0" w:after="200"/>
              <w:jc w:val="center"/>
              <w:rPr/>
            </w:pPr>
            <w:r>
              <w:rPr/>
              <w:t>Промышленная эксплуатация</w:t>
            </w:r>
          </w:p>
        </w:tc>
        <w:tc>
          <w:tcPr>
            <w:tcW w:w="2300" w:type="dxa"/>
            <w:tcBorders>
              <w:left w:val="single" w:sz="4" w:space="0" w:color="000000"/>
              <w:bottom w:val="single" w:sz="4" w:space="0" w:color="000000"/>
            </w:tcBorders>
            <w:vAlign w:val="center"/>
          </w:tcPr>
          <w:p>
            <w:pPr>
              <w:pStyle w:val="TableContents"/>
              <w:spacing w:before="0" w:after="200"/>
              <w:jc w:val="center"/>
              <w:rPr/>
            </w:pPr>
            <w:r>
              <w:rPr/>
              <w:t>Дата устранения всех замечаний Заказчика согласно Отчету по результатам опытной эксплуатации</w:t>
            </w:r>
          </w:p>
        </w:tc>
        <w:tc>
          <w:tcPr>
            <w:tcW w:w="2187" w:type="dxa"/>
            <w:tcBorders>
              <w:left w:val="single" w:sz="4" w:space="0" w:color="000000"/>
              <w:bottom w:val="single" w:sz="4" w:space="0" w:color="000000"/>
            </w:tcBorders>
            <w:vAlign w:val="center"/>
          </w:tcPr>
          <w:p>
            <w:pPr>
              <w:pStyle w:val="TableContents"/>
              <w:spacing w:before="0" w:after="200"/>
              <w:jc w:val="center"/>
              <w:rPr/>
            </w:pPr>
            <w:r>
              <w:rPr/>
              <w:t>Дата подписания Акта ввода в промышленную эксплуатацию</w:t>
            </w:r>
          </w:p>
        </w:tc>
        <w:tc>
          <w:tcPr>
            <w:tcW w:w="2549" w:type="dxa"/>
            <w:tcBorders>
              <w:left w:val="single" w:sz="4" w:space="0" w:color="000000"/>
              <w:bottom w:val="single" w:sz="4" w:space="0" w:color="000000"/>
              <w:right w:val="single" w:sz="4" w:space="0" w:color="000000"/>
            </w:tcBorders>
            <w:vAlign w:val="center"/>
          </w:tcPr>
          <w:p>
            <w:pPr>
              <w:pStyle w:val="TableContents"/>
              <w:spacing w:before="0" w:after="200"/>
              <w:jc w:val="center"/>
              <w:rPr/>
            </w:pPr>
            <w:r>
              <w:rPr/>
              <w:t>Акт ввода в промышленную эксплуатацию</w:t>
            </w:r>
          </w:p>
        </w:tc>
      </w:tr>
    </w:tbl>
    <w:p>
      <w:pPr>
        <w:pStyle w:val="32"/>
        <w:spacing w:lineRule="auto" w:line="240" w:before="115" w:after="115"/>
        <w:ind w:left="706"/>
        <w:contextualSpacing/>
        <w:rPr/>
      </w:pPr>
      <w:r>
        <w:rPr/>
        <w:t>* По завершении этапа Опытной эксплуатации должен быть подписан «Отчет по результатам опытной эксплуатации» с Перечнем замечаний Заказчика и со сроками их устранения. В случае отсутствия замечаний у Заказчика подписывается «Акт ввода в промышленную эксплуатацию».</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8.2.1.</w:t>
        <w:tab/>
        <w:t>По окончании каждого из этапов работ Исполнитель представляет Заказчику документацию по этапу и подписанный со своей стороны акт сдачи-приемки работ.</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8.3.</w:t>
        <w:tab/>
        <w:t>Все работы должны быть произведены без остановки подсистем обеих площадок, или, в случае крайней необходимости, возможен небольшой останов систем в ночное время, что будет обговорено в процессе подписания Договора.</w:t>
      </w:r>
    </w:p>
    <w:p>
      <w:pPr>
        <w:pStyle w:val="ListParagraph"/>
        <w:numPr>
          <w:ilvl w:val="0"/>
          <w:numId w:val="0"/>
        </w:numPr>
        <w:tabs>
          <w:tab w:val="clear" w:pos="720"/>
          <w:tab w:val="left" w:pos="1701" w:leader="none"/>
        </w:tabs>
        <w:spacing w:before="120" w:after="120"/>
        <w:ind w:left="720"/>
        <w:contextualSpacing/>
        <w:jc w:val="both"/>
        <w:outlineLvl w:val="0"/>
        <w:rPr>
          <w:rFonts w:ascii="Calibri Light" w:hAnsi="Calibri Light" w:asciiTheme="majorHAnsi" w:hAnsiTheme="majorHAnsi"/>
        </w:rPr>
      </w:pPr>
      <w:r>
        <w:rPr>
          <w:rFonts w:asciiTheme="majorHAnsi" w:hAnsiTheme="majorHAnsi" w:ascii="Calibri Light" w:hAnsi="Calibri Light"/>
        </w:rPr>
      </w:r>
    </w:p>
    <w:p>
      <w:pPr>
        <w:pStyle w:val="Estilo1-A2MK"/>
        <w:numPr>
          <w:ilvl w:val="0"/>
          <w:numId w:val="0"/>
        </w:numPr>
        <w:ind w:hanging="0" w:left="502"/>
        <w:rPr>
          <w:rFonts w:ascii="Calibri Light" w:hAnsi="Calibri Light"/>
        </w:rPr>
      </w:pPr>
      <w:r>
        <w:rPr>
          <w:rFonts w:ascii="Calibri Light" w:hAnsi="Calibri Light"/>
        </w:rPr>
        <w:t>9.</w:t>
        <w:tab/>
        <w:tab/>
        <w:t>Требования по безопасности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9.1.</w:t>
        <w:tab/>
        <w:t>Требования по безопасности включают требования по обеспечению безопасности при наладке, эксплуатации, обслуживании и ремонте технических средств системы (защита от воздействий электрического тока, электромагнитных полей, афотических шумов и г. п.), но допустимым уровням освещенности, вибрационных и шумовых нагрузок.</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9.2.</w:t>
        <w:tab/>
        <w:t>Все аппаратные средства поставляемого оборудования, находящиеся под напряжением, должны иметь защиту от случайного прикосновения, а сами технические средства обеспечить электропитанием и заземлением в строгом соответствии с ГОСТ 464-79, BCIJ 1-77. МКМ 02:1999 и ПУЭ. Система электропитания должна обеспечивать защитное отключение при перегрузках и коротких замыканиях в цепях нагрузки.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9.3.</w:t>
        <w:tab/>
        <w:t>Общие требования пожарной безопасности должны соответствовать нормам на бытовое электрооборудование. После снятия электропитания должно быть допустимо применение любых средств пожаротушения.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9.4.</w:t>
        <w:tab/>
        <w:t>Факторы, оказывающие вредные воздействия на здоровье со стороны оборудования (в том числе инфракрасное, ультрафиолетовое, рентгеновское и электромагнитное излучения, вибрация, шум, электростатические поля, ультразвук строчной частоты и т.д.), нс должны превышать действующих норм Республики Узбекистан.</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9.5.</w:t>
        <w:tab/>
        <w:t>Технические средства, входящие в состав оборудования, должны удовлетворять требованиям ГОСТ 12.1.002-84 по уровням напряженности электрических полей.</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9.6.</w:t>
        <w:tab/>
        <w:t>Исполнитель должен гарантировать обеспечение техники безопасности для своего персонала при выполнении монтажных и пусконаладочных работ по внедрению поставляемого оборудования.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9.7.</w:t>
        <w:tab/>
        <w:t>Исполнитель должен предпринять все необходимые меры по обеспечению информационной безопасности и сохранности конфиденциальной информации Заказчика, а также, по предотвращению утечки информации.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cstheme="majorHAnsi" w:ascii="Calibri Light" w:hAnsi="Calibri Light"/>
        </w:rPr>
      </w:r>
    </w:p>
    <w:p>
      <w:pPr>
        <w:pStyle w:val="Estilo1-A2MK"/>
        <w:numPr>
          <w:ilvl w:val="0"/>
          <w:numId w:val="0"/>
        </w:numPr>
        <w:ind w:hanging="0" w:left="502"/>
        <w:rPr>
          <w:rFonts w:ascii="Calibri Light" w:hAnsi="Calibri Light"/>
        </w:rPr>
      </w:pPr>
      <w:r>
        <w:rPr>
          <w:rFonts w:ascii="Calibri Light" w:hAnsi="Calibri Light"/>
        </w:rPr>
        <w:t>10.</w:t>
        <w:tab/>
        <w:t>Требования к остаточному сроку годности, сроку хранения, гарантии качества товара</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10.1.</w:t>
        <w:tab/>
        <w:t>В составе поставляемого комплекса должно применяться ПО новейшего выпуска стабильной актуальной версии, прошедшее все комплексы мероприятий по отладке, поиску и исключению ошибок, принятые у производителя ПО.</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10.2.</w:t>
        <w:tab/>
        <w:t>Лицензии должны быть бессрочными, не требующими заключения дополнительных договоров на использование данного программного обеспечения.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10.3.</w:t>
        <w:tab/>
        <w:t>Исполнитель должен гарантировать наступление даты окончания жизненного цикла оборудования и всех его компонентов не ранее, чем через 5 лет с момента заключения договора па поставку оборудования.</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10.4.</w:t>
        <w:tab/>
        <w:t>Исполнитель должен гарантировать доступность сервисной поддержки не менее 5 лет с момента окончания жизненного цикла поставляемого оборудования (всех комплектующих). Поддержка аппаратного обеспечения подразумевает доступность сервисного обслуживания всех блоков и компонентов аппаратно-программных средств.</w:t>
      </w:r>
    </w:p>
    <w:p>
      <w:pPr>
        <w:pStyle w:val="ListParagraph"/>
        <w:numPr>
          <w:ilvl w:val="0"/>
          <w:numId w:val="0"/>
        </w:numPr>
        <w:tabs>
          <w:tab w:val="clear" w:pos="720"/>
          <w:tab w:val="left" w:pos="1701" w:leader="none"/>
        </w:tabs>
        <w:spacing w:before="120" w:after="120"/>
        <w:ind w:left="709"/>
        <w:contextualSpacing/>
        <w:jc w:val="both"/>
        <w:outlineLvl w:val="0"/>
        <w:rPr>
          <w:rFonts w:ascii="Calibri Light" w:hAnsi="Calibri Light"/>
        </w:rPr>
      </w:pPr>
      <w:r>
        <w:rPr>
          <w:rFonts w:ascii="Calibri Light" w:hAnsi="Calibri Light"/>
        </w:rPr>
      </w:r>
    </w:p>
    <w:p>
      <w:pPr>
        <w:pStyle w:val="Estilo1-A2MK"/>
        <w:numPr>
          <w:ilvl w:val="0"/>
          <w:numId w:val="0"/>
        </w:numPr>
        <w:ind w:hanging="0" w:left="502"/>
        <w:rPr>
          <w:rFonts w:ascii="Calibri Light" w:hAnsi="Calibri Light" w:asciiTheme="majorHAnsi" w:hAnsiTheme="majorHAnsi"/>
        </w:rPr>
      </w:pPr>
      <w:r>
        <w:rPr>
          <w:rFonts w:cs="Calibri Light" w:ascii="Calibri Light" w:hAnsi="Calibri Light" w:cstheme="majorHAnsi"/>
        </w:rPr>
        <w:t>11.</w:t>
        <w:tab/>
        <w:t>Срок поставки</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11.1.</w:t>
        <w:tab/>
        <w:t xml:space="preserve">Срок поставки оборудования </w:t>
      </w:r>
      <w:r>
        <w:rPr>
          <w:rFonts w:eastAsia="Times New Roman" w:cs="Calibri Light" w:ascii="Calibri Light" w:hAnsi="Calibri Light" w:cstheme="majorHAnsi"/>
        </w:rPr>
        <w:t>6</w:t>
      </w:r>
      <w:r>
        <w:rPr>
          <w:rFonts w:eastAsia="Times New Roman" w:cs="Calibri Light" w:ascii="Calibri Light" w:hAnsi="Calibri Light" w:cstheme="majorHAnsi"/>
        </w:rPr>
        <w:t>0 рабочих дней.</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ascii="Calibri Light" w:hAnsi="Calibri Light" w:cstheme="majorHAnsi"/>
        </w:rPr>
        <w:t>11.2.</w:t>
        <w:tab/>
        <w:t>Срок выполнения пусконаладочных работ после отгрузки оборудования и подписания Акта приема-передачи 30 рабочих дней.</w:t>
      </w:r>
    </w:p>
    <w:p>
      <w:pPr>
        <w:pStyle w:val="ListParagraph"/>
        <w:numPr>
          <w:ilvl w:val="0"/>
          <w:numId w:val="0"/>
        </w:numPr>
        <w:tabs>
          <w:tab w:val="clear" w:pos="720"/>
          <w:tab w:val="left" w:pos="1701" w:leader="none"/>
        </w:tabs>
        <w:spacing w:before="120" w:after="120"/>
        <w:ind w:hanging="706" w:left="706"/>
        <w:contextualSpacing/>
        <w:jc w:val="both"/>
        <w:outlineLvl w:val="0"/>
        <w:rPr>
          <w:rFonts w:ascii="Calibri Light" w:hAnsi="Calibri Light" w:eastAsia="Times New Roman" w:cs="Calibri Light" w:cstheme="majorHAnsi"/>
        </w:rPr>
      </w:pPr>
      <w:r>
        <w:rPr>
          <w:rFonts w:eastAsia="Times New Roman" w:cs="Calibri Light" w:cstheme="majorHAnsi" w:ascii="Calibri Light" w:hAnsi="Calibri Light"/>
        </w:rPr>
      </w:r>
    </w:p>
    <w:p>
      <w:pPr>
        <w:pStyle w:val="Estilo1-A2MK"/>
        <w:numPr>
          <w:ilvl w:val="0"/>
          <w:numId w:val="0"/>
        </w:numPr>
        <w:ind w:hanging="0" w:left="502"/>
        <w:rPr>
          <w:rFonts w:ascii="Calibri Light" w:hAnsi="Calibri Light" w:asciiTheme="majorHAnsi" w:hAnsiTheme="majorHAnsi"/>
        </w:rPr>
      </w:pPr>
      <w:r>
        <w:rPr>
          <w:rFonts w:cs="Calibri Light" w:ascii="Calibri Light" w:hAnsi="Calibri Light" w:cstheme="majorHAnsi"/>
        </w:rPr>
        <w:t>12.</w:t>
        <w:tab/>
        <w:t>Адрес поставки</w:t>
      </w:r>
    </w:p>
    <w:p>
      <w:pPr>
        <w:pStyle w:val="ListParagraph"/>
        <w:spacing w:before="120" w:after="120"/>
        <w:ind w:hanging="360" w:left="502"/>
        <w:contextualSpacing w:val="false"/>
        <w:rPr>
          <w:rFonts w:ascii="Calibri Light" w:hAnsi="Calibri Light" w:cs="Calibri Light" w:asciiTheme="majorHAnsi" w:cstheme="majorHAnsi" w:hAnsiTheme="majorHAnsi"/>
        </w:rPr>
      </w:pPr>
      <w:r>
        <w:rPr>
          <w:rFonts w:cs="Calibri Light" w:ascii="Calibri Light" w:hAnsi="Calibri Light" w:cstheme="majorHAnsi"/>
        </w:rPr>
        <w:t>12.1</w:t>
        <w:tab/>
        <w:t>г.Ташкент, ул.Махтумкули, 178/1.</w:t>
      </w:r>
    </w:p>
    <w:sectPr>
      <w:footerReference w:type="even" r:id="rId3"/>
      <w:footerReference w:type="default" r:id="rId4"/>
      <w:footerReference w:type="first" r:id="rId5"/>
      <w:type w:val="nextPage"/>
      <w:pgSz w:w="11906" w:h="16838"/>
      <w:pgMar w:left="720" w:right="991" w:gutter="0" w:header="0" w:top="72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w:charset w:val="01"/>
    <w:family w:val="swiss"/>
    <w:pitch w:val="variable"/>
  </w:font>
  <w:font w:name="Tahoma">
    <w:charset w:val="01"/>
    <w:family w:val="swiss"/>
    <w:pitch w:val="variable"/>
  </w:font>
  <w:font w:name="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Narrow">
    <w:charset w:val="01"/>
    <w:family w:val="swiss"/>
    <w:pitch w:val="variable"/>
  </w:font>
  <w:font w:name="Calibri Light">
    <w:charset w:val="01"/>
    <w:family w:val="roman"/>
    <w:pitch w:val="variable"/>
  </w:font>
  <w:font w:name="Calibri Light">
    <w:charset w:val="01"/>
    <w:family w:val="swiss"/>
    <w:pitch w:val="variable"/>
  </w:font>
  <w:font w:name="Calibri-Light">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15983745"/>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pPr>
      <w:pStyle w:val="Footer"/>
      <w:ind w:right="3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46081196"/>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sdtContent>
  </w:sdt>
  <w:p>
    <w:pPr>
      <w:pStyle w:val="Footer"/>
      <w:tabs>
        <w:tab w:val="center" w:pos="4680" w:leader="none"/>
        <w:tab w:val="right" w:pos="9360" w:leader="none"/>
        <w:tab w:val="right" w:pos="9720" w:leader="none"/>
      </w:tabs>
      <w:ind w:right="360"/>
      <w:rPr>
        <w:rFonts w:ascii="Tahoma" w:hAnsi="Tahoma" w:cs="Tahoma"/>
        <w:sz w:val="18"/>
        <w:szCs w:val="18"/>
      </w:rPr>
    </w:pPr>
    <w:r>
      <w:rPr>
        <w:rFonts w:cs="Tahoma" w:ascii="Tahoma" w:hAnsi="Tahoma"/>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46081196"/>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sdtContent>
  </w:sdt>
  <w:p>
    <w:pPr>
      <w:pStyle w:val="Footer"/>
      <w:tabs>
        <w:tab w:val="center" w:pos="4680" w:leader="none"/>
        <w:tab w:val="right" w:pos="9360" w:leader="none"/>
        <w:tab w:val="right" w:pos="9720" w:leader="none"/>
      </w:tabs>
      <w:ind w:right="360"/>
      <w:rPr>
        <w:rFonts w:ascii="Tahoma" w:hAnsi="Tahoma" w:cs="Tahoma"/>
        <w:sz w:val="18"/>
        <w:szCs w:val="18"/>
      </w:rPr>
    </w:pPr>
    <w:r>
      <w:rPr>
        <w:rFonts w:cs="Tahoma" w:ascii="Tahoma" w:hAnsi="Tahoma"/>
        <w:sz w:val="18"/>
        <w:szCs w:val="18"/>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stilo1-A2MK"/>
      <w:numFmt w:val="decimal"/>
      <w:lvlText w:val="%1."/>
      <w:lvlJc w:val="left"/>
      <w:pPr>
        <w:tabs>
          <w:tab w:val="num" w:pos="0"/>
        </w:tabs>
        <w:ind w:left="502" w:hanging="360"/>
      </w:pPr>
      <w:rPr>
        <w:b/>
      </w:rPr>
    </w:lvl>
    <w:lvl w:ilvl="1">
      <w:start w:val="1"/>
      <w:numFmt w:val="decimal"/>
      <w:lvlText w:val="%1.%2."/>
      <w:lvlJc w:val="left"/>
      <w:pPr>
        <w:tabs>
          <w:tab w:val="num" w:pos="0"/>
        </w:tabs>
        <w:ind w:left="2701" w:hanging="432"/>
      </w:pPr>
      <w:rPr>
        <w:b w:val="false"/>
      </w:rPr>
    </w:lvl>
    <w:lvl w:ilvl="2">
      <w:start w:val="1"/>
      <w:numFmt w:val="decimal"/>
      <w:lvlText w:val="%1.%2.%3."/>
      <w:lvlJc w:val="left"/>
      <w:pPr>
        <w:tabs>
          <w:tab w:val="num" w:pos="0"/>
        </w:tabs>
        <w:ind w:left="646" w:hanging="504"/>
      </w:pPr>
      <w:rPr>
        <w:b w:val="false"/>
        <w:bCs w:val="false"/>
      </w:rPr>
    </w:lvl>
    <w:lvl w:ilvl="3">
      <w:start w:val="1"/>
      <w:numFmt w:val="decimal"/>
      <w:lvlText w:val="%1.%2.%3.%4."/>
      <w:lvlJc w:val="left"/>
      <w:pPr>
        <w:tabs>
          <w:tab w:val="num" w:pos="0"/>
        </w:tabs>
        <w:ind w:left="1728" w:hanging="648"/>
      </w:pPr>
      <w:rPr>
        <w:b w:val="false"/>
        <w:bCs w:val="false"/>
      </w:rPr>
    </w:lvl>
    <w:lvl w:ilvl="4">
      <w:start w:val="1"/>
      <w:numFmt w:val="decimal"/>
      <w:lvlText w:val="%1.%2.%3.%4.%5."/>
      <w:lvlJc w:val="left"/>
      <w:pPr>
        <w:tabs>
          <w:tab w:val="num" w:pos="0"/>
        </w:tabs>
        <w:ind w:left="1643"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pStyle w:val="Heading10"/>
      <w:numFmt w:val="decimal"/>
      <w:lvlText w:val="%1.%2.%3.%4.%5.%6.%7.%8.%9."/>
      <w:lvlJc w:val="left"/>
      <w:pPr>
        <w:tabs>
          <w:tab w:val="num" w:pos="0"/>
        </w:tabs>
        <w:ind w:left="4320" w:hanging="144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ru-RU" w:eastAsia="en-US" w:bidi="ar-SA"/>
    </w:rPr>
  </w:style>
  <w:style w:type="paragraph" w:styleId="Heading1">
    <w:name w:val="heading 1"/>
    <w:basedOn w:val="Normal"/>
    <w:next w:val="Normal"/>
    <w:link w:val="1"/>
    <w:qFormat/>
    <w:rsid w:val="00552284"/>
    <w:pPr>
      <w:shd w:val="clear" w:color="auto" w:fill="D9D9D9"/>
      <w:snapToGrid w:val="false"/>
      <w:spacing w:lineRule="auto" w:line="288" w:before="240" w:after="240"/>
      <w:ind w:firstLine="680"/>
      <w:jc w:val="both"/>
      <w:outlineLvl w:val="0"/>
    </w:pPr>
    <w:rPr>
      <w:rFonts w:ascii="Calibri" w:hAnsi="Calibri" w:eastAsia="Times New Roman" w:cs="Times New Roman"/>
      <w:b/>
      <w:caps/>
    </w:rPr>
  </w:style>
  <w:style w:type="paragraph" w:styleId="Heading2">
    <w:name w:val="heading 2"/>
    <w:basedOn w:val="Normal"/>
    <w:next w:val="Normal"/>
    <w:link w:val="2"/>
    <w:qFormat/>
    <w:rsid w:val="00991350"/>
    <w:pPr>
      <w:spacing w:lineRule="auto" w:line="288" w:before="60" w:after="60"/>
      <w:jc w:val="both"/>
      <w:outlineLvl w:val="1"/>
    </w:pPr>
    <w:rPr>
      <w:rFonts w:ascii="Calibri" w:hAnsi="Calibri" w:eastAsia="Times New Roman" w:cs="Times New Roman"/>
      <w:bCs/>
      <w:sz w:val="22"/>
      <w:szCs w:val="26"/>
    </w:rPr>
  </w:style>
  <w:style w:type="paragraph" w:styleId="Heading3">
    <w:name w:val="heading 3"/>
    <w:basedOn w:val="Normal"/>
    <w:next w:val="Normal"/>
    <w:link w:val="3"/>
    <w:qFormat/>
    <w:rsid w:val="00991350"/>
    <w:pPr>
      <w:spacing w:lineRule="auto" w:line="288" w:before="60" w:after="60"/>
      <w:jc w:val="both"/>
      <w:outlineLvl w:val="2"/>
    </w:pPr>
    <w:rPr>
      <w:rFonts w:ascii="Calibri" w:hAnsi="Calibri" w:eastAsia="Times New Roman" w:cs="Times New Roman"/>
      <w:bCs/>
      <w:sz w:val="22"/>
    </w:rPr>
  </w:style>
  <w:style w:type="paragraph" w:styleId="Heading4">
    <w:name w:val="heading 4"/>
    <w:basedOn w:val="Normal"/>
    <w:next w:val="Normal"/>
    <w:link w:val="4"/>
    <w:qFormat/>
    <w:rsid w:val="00991350"/>
    <w:pPr>
      <w:spacing w:lineRule="auto" w:line="288" w:before="60" w:after="60"/>
      <w:jc w:val="both"/>
      <w:outlineLvl w:val="3"/>
    </w:pPr>
    <w:rPr>
      <w:rFonts w:ascii="Calibri" w:hAnsi="Calibri" w:eastAsia="Times New Roman" w:cs="Times New Roman"/>
      <w:bCs/>
      <w:iCs/>
      <w:sz w:val="22"/>
    </w:rPr>
  </w:style>
  <w:style w:type="paragraph" w:styleId="Heading5">
    <w:name w:val="heading 5"/>
    <w:basedOn w:val="Normal"/>
    <w:next w:val="Normal"/>
    <w:link w:val="5"/>
    <w:qFormat/>
    <w:rsid w:val="00991350"/>
    <w:pPr>
      <w:spacing w:lineRule="auto" w:line="288" w:before="60" w:after="60"/>
      <w:jc w:val="both"/>
      <w:outlineLvl w:val="4"/>
    </w:pPr>
    <w:rPr>
      <w:rFonts w:ascii="Calibri" w:hAnsi="Calibri" w:eastAsia="Times New Roman" w:cs="Times New Roman"/>
      <w:sz w:val="22"/>
    </w:rPr>
  </w:style>
  <w:style w:type="paragraph" w:styleId="Heading6">
    <w:name w:val="heading 6"/>
    <w:basedOn w:val="Normal"/>
    <w:next w:val="Normal"/>
    <w:link w:val="6"/>
    <w:qFormat/>
    <w:rsid w:val="00991350"/>
    <w:pPr>
      <w:keepNext w:val="true"/>
      <w:keepLines/>
      <w:spacing w:lineRule="auto" w:line="288" w:before="200" w:after="60"/>
      <w:jc w:val="both"/>
      <w:outlineLvl w:val="5"/>
    </w:pPr>
    <w:rPr>
      <w:rFonts w:ascii="Calibri" w:hAnsi="Calibri" w:eastAsia="Times New Roman" w:cs="Times New Roman"/>
      <w:i/>
      <w:iCs/>
      <w:color w:val="6E6E6E"/>
      <w:sz w:val="22"/>
    </w:rPr>
  </w:style>
  <w:style w:type="paragraph" w:styleId="Heading7">
    <w:name w:val="heading 7"/>
    <w:basedOn w:val="Normal"/>
    <w:next w:val="Normal"/>
    <w:link w:val="7"/>
    <w:qFormat/>
    <w:rsid w:val="00991350"/>
    <w:pPr>
      <w:keepNext w:val="true"/>
      <w:keepLines/>
      <w:spacing w:lineRule="auto" w:line="288" w:before="200" w:after="60"/>
      <w:jc w:val="both"/>
      <w:outlineLvl w:val="6"/>
    </w:pPr>
    <w:rPr>
      <w:rFonts w:ascii="Calibri" w:hAnsi="Calibri" w:eastAsia="Times New Roman" w:cs="Times New Roman"/>
      <w:i/>
      <w:iCs/>
      <w:color w:val="404040"/>
      <w:sz w:val="22"/>
    </w:rPr>
  </w:style>
  <w:style w:type="paragraph" w:styleId="Heading8">
    <w:name w:val="heading 8"/>
    <w:basedOn w:val="Normal"/>
    <w:next w:val="Normal"/>
    <w:link w:val="8"/>
    <w:qFormat/>
    <w:rsid w:val="00991350"/>
    <w:pPr>
      <w:keepNext w:val="true"/>
      <w:keepLines/>
      <w:spacing w:lineRule="auto" w:line="288" w:before="200" w:after="60"/>
      <w:jc w:val="both"/>
      <w:outlineLvl w:val="7"/>
    </w:pPr>
    <w:rPr>
      <w:rFonts w:ascii="Calibri" w:hAnsi="Calibri" w:eastAsia="Times New Roman" w:cs="Times New Roman"/>
      <w:color w:val="404040"/>
      <w:sz w:val="20"/>
      <w:szCs w:val="20"/>
    </w:rPr>
  </w:style>
  <w:style w:type="paragraph" w:styleId="Heading9">
    <w:name w:val="heading 9"/>
    <w:basedOn w:val="Normal"/>
    <w:next w:val="Normal"/>
    <w:link w:val="9"/>
    <w:qFormat/>
    <w:rsid w:val="00991350"/>
    <w:pPr>
      <w:keepNext w:val="true"/>
      <w:keepLines/>
      <w:spacing w:lineRule="auto" w:line="288" w:before="200" w:after="60"/>
      <w:jc w:val="both"/>
      <w:outlineLvl w:val="8"/>
    </w:pPr>
    <w:rPr>
      <w:rFonts w:ascii="Calibri" w:hAnsi="Calibri" w:eastAsia="Times New Roman" w:cs="Times New Roman"/>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link w:val="Heading1"/>
    <w:qFormat/>
    <w:rsid w:val="00552284"/>
    <w:rPr>
      <w:rFonts w:ascii="Calibri" w:hAnsi="Calibri" w:eastAsia="Times New Roman" w:cs="Times New Roman"/>
      <w:b/>
      <w:caps/>
      <w:shd w:fill="D9D9D9" w:val="clear"/>
    </w:rPr>
  </w:style>
  <w:style w:type="character" w:styleId="2" w:customStyle="1">
    <w:name w:val="Заголовок 2 Знак"/>
    <w:basedOn w:val="DefaultParagraphFont"/>
    <w:link w:val="Heading2"/>
    <w:uiPriority w:val="9"/>
    <w:qFormat/>
    <w:rsid w:val="00991350"/>
    <w:rPr>
      <w:rFonts w:ascii="Calibri" w:hAnsi="Calibri" w:eastAsia="Times New Roman" w:cs="Times New Roman"/>
      <w:bCs/>
      <w:sz w:val="22"/>
      <w:szCs w:val="26"/>
      <w:lang w:val="ru-RU"/>
    </w:rPr>
  </w:style>
  <w:style w:type="character" w:styleId="3" w:customStyle="1">
    <w:name w:val="Заголовок 3 Знак"/>
    <w:basedOn w:val="DefaultParagraphFont"/>
    <w:link w:val="Heading3"/>
    <w:uiPriority w:val="9"/>
    <w:qFormat/>
    <w:rsid w:val="00991350"/>
    <w:rPr>
      <w:rFonts w:ascii="Calibri" w:hAnsi="Calibri" w:eastAsia="Times New Roman" w:cs="Times New Roman"/>
      <w:bCs/>
      <w:sz w:val="22"/>
      <w:lang w:val="ru-RU"/>
    </w:rPr>
  </w:style>
  <w:style w:type="character" w:styleId="4" w:customStyle="1">
    <w:name w:val="Заголовок 4 Знак"/>
    <w:basedOn w:val="DefaultParagraphFont"/>
    <w:link w:val="Heading4"/>
    <w:uiPriority w:val="9"/>
    <w:qFormat/>
    <w:rsid w:val="00991350"/>
    <w:rPr>
      <w:rFonts w:ascii="Calibri" w:hAnsi="Calibri" w:eastAsia="Times New Roman" w:cs="Times New Roman"/>
      <w:bCs/>
      <w:iCs/>
      <w:sz w:val="22"/>
      <w:lang w:val="ru-RU"/>
    </w:rPr>
  </w:style>
  <w:style w:type="character" w:styleId="5" w:customStyle="1">
    <w:name w:val="Заголовок 5 Знак"/>
    <w:basedOn w:val="DefaultParagraphFont"/>
    <w:link w:val="Heading5"/>
    <w:uiPriority w:val="9"/>
    <w:qFormat/>
    <w:rsid w:val="00991350"/>
    <w:rPr>
      <w:rFonts w:ascii="Calibri" w:hAnsi="Calibri" w:eastAsia="Times New Roman" w:cs="Times New Roman"/>
      <w:sz w:val="22"/>
      <w:lang w:val="ru-RU"/>
    </w:rPr>
  </w:style>
  <w:style w:type="character" w:styleId="6" w:customStyle="1">
    <w:name w:val="Заголовок 6 Знак"/>
    <w:basedOn w:val="DefaultParagraphFont"/>
    <w:link w:val="Heading6"/>
    <w:uiPriority w:val="9"/>
    <w:qFormat/>
    <w:rsid w:val="00991350"/>
    <w:rPr>
      <w:rFonts w:ascii="Calibri" w:hAnsi="Calibri" w:eastAsia="Times New Roman" w:cs="Times New Roman"/>
      <w:i/>
      <w:iCs/>
      <w:color w:val="6E6E6E"/>
      <w:sz w:val="22"/>
      <w:lang w:val="ru-RU"/>
    </w:rPr>
  </w:style>
  <w:style w:type="character" w:styleId="7" w:customStyle="1">
    <w:name w:val="Заголовок 7 Знак"/>
    <w:basedOn w:val="DefaultParagraphFont"/>
    <w:link w:val="Heading7"/>
    <w:uiPriority w:val="99"/>
    <w:qFormat/>
    <w:rsid w:val="00991350"/>
    <w:rPr>
      <w:rFonts w:ascii="Calibri" w:hAnsi="Calibri" w:eastAsia="Times New Roman" w:cs="Times New Roman"/>
      <w:i/>
      <w:iCs/>
      <w:color w:val="404040"/>
      <w:sz w:val="22"/>
      <w:lang w:val="ru-RU"/>
    </w:rPr>
  </w:style>
  <w:style w:type="character" w:styleId="8" w:customStyle="1">
    <w:name w:val="Заголовок 8 Знак"/>
    <w:basedOn w:val="DefaultParagraphFont"/>
    <w:link w:val="Heading8"/>
    <w:uiPriority w:val="99"/>
    <w:qFormat/>
    <w:rsid w:val="00991350"/>
    <w:rPr>
      <w:rFonts w:ascii="Calibri" w:hAnsi="Calibri" w:eastAsia="Times New Roman" w:cs="Times New Roman"/>
      <w:color w:val="404040"/>
      <w:sz w:val="20"/>
      <w:szCs w:val="20"/>
      <w:lang w:val="ru-RU"/>
    </w:rPr>
  </w:style>
  <w:style w:type="character" w:styleId="9" w:customStyle="1">
    <w:name w:val="Заголовок 9 Знак"/>
    <w:basedOn w:val="DefaultParagraphFont"/>
    <w:link w:val="Heading9"/>
    <w:uiPriority w:val="99"/>
    <w:qFormat/>
    <w:rsid w:val="00991350"/>
    <w:rPr>
      <w:rFonts w:ascii="Calibri" w:hAnsi="Calibri" w:eastAsia="Times New Roman" w:cs="Times New Roman"/>
      <w:i/>
      <w:iCs/>
      <w:color w:val="404040"/>
      <w:sz w:val="20"/>
      <w:szCs w:val="20"/>
      <w:lang w:val="ru-RU"/>
    </w:rPr>
  </w:style>
  <w:style w:type="character" w:styleId="Style5" w:customStyle="1">
    <w:name w:val="Абзац списка Знак"/>
    <w:link w:val="ListParagraph"/>
    <w:qFormat/>
    <w:rsid w:val="00ce231c"/>
    <w:rPr/>
  </w:style>
  <w:style w:type="character" w:styleId="Style6" w:customStyle="1">
    <w:name w:val="Верхний колонтитул Знак"/>
    <w:basedOn w:val="DefaultParagraphFont"/>
    <w:link w:val="Header"/>
    <w:uiPriority w:val="99"/>
    <w:qFormat/>
    <w:rsid w:val="0086627e"/>
    <w:rPr/>
  </w:style>
  <w:style w:type="character" w:styleId="Style7" w:customStyle="1">
    <w:name w:val="Нижний колонтитул Знак"/>
    <w:basedOn w:val="DefaultParagraphFont"/>
    <w:link w:val="Footer"/>
    <w:uiPriority w:val="99"/>
    <w:qFormat/>
    <w:rsid w:val="0086627e"/>
    <w:rPr/>
  </w:style>
  <w:style w:type="character" w:styleId="Hyperlink">
    <w:name w:val="Hyperlink"/>
    <w:basedOn w:val="DefaultParagraphFont"/>
    <w:uiPriority w:val="99"/>
    <w:unhideWhenUsed/>
    <w:rsid w:val="004e200a"/>
    <w:rPr>
      <w:color w:themeColor="hyperlink" w:val="0563C1"/>
      <w:u w:val="single"/>
    </w:rPr>
  </w:style>
  <w:style w:type="character" w:styleId="UnresolvedMention1" w:customStyle="1">
    <w:name w:val="Unresolved Mention1"/>
    <w:basedOn w:val="DefaultParagraphFont"/>
    <w:uiPriority w:val="99"/>
    <w:unhideWhenUsed/>
    <w:qFormat/>
    <w:rsid w:val="004e200a"/>
    <w:rPr>
      <w:color w:val="605E5C"/>
      <w:shd w:fill="E1DFDD" w:val="clear"/>
    </w:rPr>
  </w:style>
  <w:style w:type="character" w:styleId="Estilo1-A2MKChar" w:customStyle="1">
    <w:name w:val="Estilo1 - A2MK Char"/>
    <w:basedOn w:val="Style5"/>
    <w:link w:val="Estilo1-A2MK"/>
    <w:qFormat/>
    <w:rsid w:val="00c84d67"/>
    <w:rPr>
      <w:b/>
      <w:lang w:val="ru-RU"/>
    </w:rPr>
  </w:style>
  <w:style w:type="character" w:styleId="PageNumber">
    <w:name w:val="page number"/>
    <w:basedOn w:val="DefaultParagraphFont"/>
    <w:uiPriority w:val="99"/>
    <w:semiHidden/>
    <w:unhideWhenUsed/>
    <w:qFormat/>
    <w:rsid w:val="00f70cb3"/>
    <w:rPr/>
  </w:style>
  <w:style w:type="character" w:styleId="Style8" w:customStyle="1">
    <w:name w:val="Текст выноски Знак"/>
    <w:basedOn w:val="DefaultParagraphFont"/>
    <w:link w:val="BalloonText"/>
    <w:qFormat/>
    <w:rsid w:val="00f22367"/>
    <w:rPr>
      <w:rFonts w:ascii="Tahoma" w:hAnsi="Tahoma" w:eastAsia="Times New Roman" w:cs="Tahoma"/>
      <w:sz w:val="16"/>
      <w:szCs w:val="16"/>
      <w:lang w:val="ru-RU" w:eastAsia="zh-CN"/>
    </w:rPr>
  </w:style>
  <w:style w:type="character" w:styleId="CommentReference">
    <w:name w:val="annotation reference"/>
    <w:basedOn w:val="DefaultParagraphFont"/>
    <w:uiPriority w:val="99"/>
    <w:semiHidden/>
    <w:unhideWhenUsed/>
    <w:qFormat/>
    <w:rsid w:val="00b8148c"/>
    <w:rPr>
      <w:sz w:val="16"/>
      <w:szCs w:val="16"/>
    </w:rPr>
  </w:style>
  <w:style w:type="character" w:styleId="Style9" w:customStyle="1">
    <w:name w:val="Текст примечания Знак"/>
    <w:basedOn w:val="DefaultParagraphFont"/>
    <w:link w:val="CommentText"/>
    <w:uiPriority w:val="99"/>
    <w:semiHidden/>
    <w:qFormat/>
    <w:rsid w:val="00b8148c"/>
    <w:rPr>
      <w:sz w:val="20"/>
      <w:szCs w:val="20"/>
    </w:rPr>
  </w:style>
  <w:style w:type="character" w:styleId="Style10" w:customStyle="1">
    <w:name w:val="Тема примечания Знак"/>
    <w:basedOn w:val="Style9"/>
    <w:link w:val="annotationsubject"/>
    <w:uiPriority w:val="99"/>
    <w:semiHidden/>
    <w:qFormat/>
    <w:rsid w:val="00b8148c"/>
    <w:rPr>
      <w:b/>
      <w:bCs/>
      <w:sz w:val="20"/>
      <w:szCs w:val="20"/>
    </w:rPr>
  </w:style>
  <w:style w:type="character" w:styleId="31" w:customStyle="1">
    <w:name w:val="Основной текст (3)_"/>
    <w:basedOn w:val="DefaultParagraphFont"/>
    <w:link w:val="32"/>
    <w:qFormat/>
    <w:rsid w:val="00f27e97"/>
    <w:rPr>
      <w:rFonts w:ascii="Times New Roman" w:hAnsi="Times New Roman" w:eastAsia="Times New Roman" w:cs="Times New Roman"/>
      <w:b/>
      <w:bCs/>
      <w:color w:val="323232"/>
    </w:rPr>
  </w:style>
  <w:style w:type="character" w:styleId="Bullets" w:customStyle="1">
    <w:name w:val="Bullets"/>
    <w:qFormat/>
    <w:rPr>
      <w:rFonts w:ascii="OpenSymbol" w:hAnsi="OpenSymbol" w:eastAsia="OpenSymbol" w:cs="OpenSymbol"/>
    </w:rPr>
  </w:style>
  <w:style w:type="character" w:styleId="UnresolvedMention">
    <w:name w:val="Unresolved Mention"/>
    <w:basedOn w:val="DefaultParagraphFont"/>
    <w:uiPriority w:val="99"/>
    <w:semiHidden/>
    <w:unhideWhenUsed/>
    <w:qFormat/>
    <w:rsid w:val="00031b04"/>
    <w:rPr>
      <w:color w:val="605E5C"/>
      <w:shd w:fill="E1DFDD" w:val="clear"/>
    </w:rPr>
  </w:style>
  <w:style w:type="character" w:styleId="FollowedHyperlink">
    <w:name w:val="FollowedHyperlink"/>
    <w:basedOn w:val="DefaultParagraphFont"/>
    <w:uiPriority w:val="99"/>
    <w:semiHidden/>
    <w:unhideWhenUsed/>
    <w:rsid w:val="00031b04"/>
    <w:rPr>
      <w:color w:themeColor="followedHyperlink" w:val="954F72"/>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rPr>
  </w:style>
  <w:style w:type="paragraph" w:styleId="Index" w:customStyle="1">
    <w:name w:val="Index"/>
    <w:basedOn w:val="Normal"/>
    <w:qFormat/>
    <w:pPr>
      <w:suppressLineNumbers/>
    </w:pPr>
    <w:rPr>
      <w:rFonts w:cs="Lohit Devanagari"/>
    </w:rPr>
  </w:style>
  <w:style w:type="paragraph" w:styleId="caption1" w:customStyle="1">
    <w:name w:val="caption1"/>
    <w:basedOn w:val="Normal"/>
    <w:qFormat/>
    <w:pPr>
      <w:suppressLineNumbers/>
      <w:spacing w:before="120" w:after="120"/>
    </w:pPr>
    <w:rPr>
      <w:rFonts w:cs="Lohit Devanagari"/>
      <w:i/>
      <w:iCs/>
    </w:rPr>
  </w:style>
  <w:style w:type="paragraph" w:styleId="ListParagraph">
    <w:name w:val="List Paragraph"/>
    <w:basedOn w:val="Normal"/>
    <w:link w:val="Style5"/>
    <w:qFormat/>
    <w:rsid w:val="002e134f"/>
    <w:pPr>
      <w:spacing w:before="0" w:after="0"/>
      <w:ind w:left="720"/>
      <w:contextualSpacing/>
    </w:pPr>
    <w:rPr/>
  </w:style>
  <w:style w:type="paragraph" w:styleId="HeaderandFooter" w:customStyle="1">
    <w:name w:val="Header and Footer"/>
    <w:basedOn w:val="Normal"/>
    <w:qFormat/>
    <w:pPr/>
    <w:rPr/>
  </w:style>
  <w:style w:type="paragraph" w:styleId="Header">
    <w:name w:val="header"/>
    <w:basedOn w:val="Normal"/>
    <w:link w:val="Style6"/>
    <w:uiPriority w:val="99"/>
    <w:unhideWhenUsed/>
    <w:rsid w:val="0086627e"/>
    <w:pPr>
      <w:tabs>
        <w:tab w:val="clear" w:pos="720"/>
        <w:tab w:val="center" w:pos="4680" w:leader="none"/>
        <w:tab w:val="right" w:pos="9360" w:leader="none"/>
      </w:tabs>
    </w:pPr>
    <w:rPr/>
  </w:style>
  <w:style w:type="paragraph" w:styleId="Footer">
    <w:name w:val="footer"/>
    <w:basedOn w:val="Normal"/>
    <w:link w:val="Style7"/>
    <w:uiPriority w:val="99"/>
    <w:unhideWhenUsed/>
    <w:rsid w:val="0086627e"/>
    <w:pPr>
      <w:tabs>
        <w:tab w:val="clear" w:pos="720"/>
        <w:tab w:val="center" w:pos="4680" w:leader="none"/>
        <w:tab w:val="right" w:pos="9360" w:leader="none"/>
      </w:tabs>
    </w:pPr>
    <w:rPr/>
  </w:style>
  <w:style w:type="paragraph" w:styleId="TOC1">
    <w:name w:val="toc 1"/>
    <w:basedOn w:val="Normal"/>
    <w:next w:val="Normal"/>
    <w:autoRedefine/>
    <w:uiPriority w:val="39"/>
    <w:unhideWhenUsed/>
    <w:rsid w:val="00f0012a"/>
    <w:pPr>
      <w:tabs>
        <w:tab w:val="clear" w:pos="720"/>
        <w:tab w:val="left" w:pos="440" w:leader="none"/>
        <w:tab w:val="right" w:pos="9350" w:leader="dot"/>
      </w:tabs>
      <w:spacing w:before="120" w:after="120"/>
    </w:pPr>
    <w:rPr/>
  </w:style>
  <w:style w:type="paragraph" w:styleId="TOC2">
    <w:name w:val="toc 2"/>
    <w:basedOn w:val="Normal"/>
    <w:next w:val="Normal"/>
    <w:autoRedefine/>
    <w:uiPriority w:val="39"/>
    <w:unhideWhenUsed/>
    <w:rsid w:val="004e200a"/>
    <w:pPr>
      <w:spacing w:lineRule="auto" w:line="259" w:before="0" w:after="100"/>
      <w:ind w:left="220"/>
    </w:pPr>
    <w:rPr>
      <w:rFonts w:eastAsia="" w:eastAsiaTheme="minorEastAsia"/>
      <w:sz w:val="22"/>
      <w:szCs w:val="22"/>
    </w:rPr>
  </w:style>
  <w:style w:type="paragraph" w:styleId="TOC3">
    <w:name w:val="toc 3"/>
    <w:basedOn w:val="Normal"/>
    <w:next w:val="Normal"/>
    <w:autoRedefine/>
    <w:uiPriority w:val="39"/>
    <w:unhideWhenUsed/>
    <w:rsid w:val="004e200a"/>
    <w:pPr>
      <w:spacing w:lineRule="auto" w:line="259" w:before="0" w:after="100"/>
      <w:ind w:left="440"/>
    </w:pPr>
    <w:rPr>
      <w:rFonts w:eastAsia="" w:eastAsiaTheme="minorEastAsia"/>
      <w:sz w:val="22"/>
      <w:szCs w:val="22"/>
    </w:rPr>
  </w:style>
  <w:style w:type="paragraph" w:styleId="TOC4">
    <w:name w:val="toc 4"/>
    <w:basedOn w:val="Normal"/>
    <w:next w:val="Normal"/>
    <w:autoRedefine/>
    <w:uiPriority w:val="39"/>
    <w:unhideWhenUsed/>
    <w:rsid w:val="004e200a"/>
    <w:pPr>
      <w:spacing w:lineRule="auto" w:line="259" w:before="0" w:after="100"/>
      <w:ind w:left="660"/>
    </w:pPr>
    <w:rPr>
      <w:rFonts w:eastAsia="" w:eastAsiaTheme="minorEastAsia"/>
      <w:sz w:val="22"/>
      <w:szCs w:val="22"/>
    </w:rPr>
  </w:style>
  <w:style w:type="paragraph" w:styleId="TOC5">
    <w:name w:val="toc 5"/>
    <w:basedOn w:val="Normal"/>
    <w:next w:val="Normal"/>
    <w:autoRedefine/>
    <w:uiPriority w:val="39"/>
    <w:unhideWhenUsed/>
    <w:rsid w:val="004e200a"/>
    <w:pPr>
      <w:spacing w:lineRule="auto" w:line="259" w:before="0" w:after="100"/>
      <w:ind w:left="880"/>
    </w:pPr>
    <w:rPr>
      <w:rFonts w:eastAsia="" w:eastAsiaTheme="minorEastAsia"/>
      <w:sz w:val="22"/>
      <w:szCs w:val="22"/>
    </w:rPr>
  </w:style>
  <w:style w:type="paragraph" w:styleId="TOC6">
    <w:name w:val="toc 6"/>
    <w:basedOn w:val="Normal"/>
    <w:next w:val="Normal"/>
    <w:autoRedefine/>
    <w:uiPriority w:val="39"/>
    <w:unhideWhenUsed/>
    <w:rsid w:val="004e200a"/>
    <w:pPr>
      <w:spacing w:lineRule="auto" w:line="259" w:before="0" w:after="100"/>
      <w:ind w:left="1100"/>
    </w:pPr>
    <w:rPr>
      <w:rFonts w:eastAsia="" w:eastAsiaTheme="minorEastAsia"/>
      <w:sz w:val="22"/>
      <w:szCs w:val="22"/>
    </w:rPr>
  </w:style>
  <w:style w:type="paragraph" w:styleId="TOC7">
    <w:name w:val="toc 7"/>
    <w:basedOn w:val="Normal"/>
    <w:next w:val="Normal"/>
    <w:autoRedefine/>
    <w:uiPriority w:val="39"/>
    <w:unhideWhenUsed/>
    <w:rsid w:val="004e200a"/>
    <w:pPr>
      <w:spacing w:lineRule="auto" w:line="259" w:before="0" w:after="100"/>
      <w:ind w:left="1320"/>
    </w:pPr>
    <w:rPr>
      <w:rFonts w:eastAsia="" w:eastAsiaTheme="minorEastAsia"/>
      <w:sz w:val="22"/>
      <w:szCs w:val="22"/>
    </w:rPr>
  </w:style>
  <w:style w:type="paragraph" w:styleId="TOC8">
    <w:name w:val="toc 8"/>
    <w:basedOn w:val="Normal"/>
    <w:next w:val="Normal"/>
    <w:autoRedefine/>
    <w:uiPriority w:val="39"/>
    <w:unhideWhenUsed/>
    <w:rsid w:val="004e200a"/>
    <w:pPr>
      <w:spacing w:lineRule="auto" w:line="259" w:before="0" w:after="100"/>
      <w:ind w:left="1540"/>
    </w:pPr>
    <w:rPr>
      <w:rFonts w:eastAsia="" w:eastAsiaTheme="minorEastAsia"/>
      <w:sz w:val="22"/>
      <w:szCs w:val="22"/>
    </w:rPr>
  </w:style>
  <w:style w:type="paragraph" w:styleId="TOC9">
    <w:name w:val="toc 9"/>
    <w:basedOn w:val="Normal"/>
    <w:next w:val="Normal"/>
    <w:autoRedefine/>
    <w:uiPriority w:val="39"/>
    <w:unhideWhenUsed/>
    <w:rsid w:val="004e200a"/>
    <w:pPr>
      <w:spacing w:lineRule="auto" w:line="259" w:before="0" w:after="100"/>
      <w:ind w:left="1760"/>
    </w:pPr>
    <w:rPr>
      <w:rFonts w:eastAsia="" w:eastAsiaTheme="minorEastAsia"/>
      <w:sz w:val="22"/>
      <w:szCs w:val="22"/>
    </w:rPr>
  </w:style>
  <w:style w:type="paragraph" w:styleId="Estilo1-A2MK" w:customStyle="1">
    <w:name w:val="Estilo1 - A2MK"/>
    <w:basedOn w:val="ListParagraph"/>
    <w:link w:val="Estilo1-A2MKChar"/>
    <w:qFormat/>
    <w:rsid w:val="00c84d67"/>
    <w:pPr>
      <w:numPr>
        <w:ilvl w:val="0"/>
        <w:numId w:val="1"/>
      </w:numPr>
      <w:spacing w:before="120" w:after="120"/>
      <w:contextualSpacing w:val="false"/>
      <w:jc w:val="both"/>
      <w:outlineLvl w:val="0"/>
    </w:pPr>
    <w:rPr>
      <w:b/>
    </w:rPr>
  </w:style>
  <w:style w:type="paragraph" w:styleId="NormalWeb">
    <w:name w:val="Normal (Web)"/>
    <w:basedOn w:val="Normal"/>
    <w:uiPriority w:val="99"/>
    <w:unhideWhenUsed/>
    <w:qFormat/>
    <w:rsid w:val="00473fc7"/>
    <w:pPr>
      <w:spacing w:beforeAutospacing="1" w:afterAutospacing="1"/>
    </w:pPr>
    <w:rPr>
      <w:rFonts w:ascii="Times New Roman" w:hAnsi="Times New Roman" w:eastAsia="Times New Roman" w:cs="Times New Roman"/>
      <w:lang w:eastAsia="pt-BR"/>
    </w:rPr>
  </w:style>
  <w:style w:type="paragraph" w:styleId="PargrafodaLista1" w:customStyle="1">
    <w:name w:val="Parágrafo da Lista1"/>
    <w:basedOn w:val="Normal"/>
    <w:uiPriority w:val="34"/>
    <w:qFormat/>
    <w:rsid w:val="00ce1971"/>
    <w:pPr>
      <w:spacing w:lineRule="auto" w:line="259" w:before="0" w:after="160"/>
      <w:ind w:left="720"/>
      <w:contextualSpacing/>
    </w:pPr>
    <w:rPr>
      <w:sz w:val="22"/>
      <w:szCs w:val="22"/>
    </w:rPr>
  </w:style>
  <w:style w:type="paragraph" w:styleId="BalloonText">
    <w:name w:val="Balloon Text"/>
    <w:basedOn w:val="Normal"/>
    <w:link w:val="Style8"/>
    <w:qFormat/>
    <w:rsid w:val="00f22367"/>
    <w:pPr>
      <w:spacing w:before="0" w:after="160"/>
      <w:jc w:val="both"/>
    </w:pPr>
    <w:rPr>
      <w:rFonts w:ascii="Tahoma" w:hAnsi="Tahoma" w:eastAsia="Times New Roman" w:cs="Tahoma"/>
      <w:sz w:val="16"/>
      <w:szCs w:val="16"/>
      <w:lang w:eastAsia="zh-CN"/>
    </w:rPr>
  </w:style>
  <w:style w:type="paragraph" w:styleId="CommentText">
    <w:name w:val="annotation text"/>
    <w:basedOn w:val="Normal"/>
    <w:link w:val="Style9"/>
    <w:uiPriority w:val="99"/>
    <w:semiHidden/>
    <w:unhideWhenUsed/>
    <w:qFormat/>
    <w:rsid w:val="00b8148c"/>
    <w:pPr/>
    <w:rPr>
      <w:sz w:val="20"/>
      <w:szCs w:val="20"/>
    </w:rPr>
  </w:style>
  <w:style w:type="paragraph" w:styleId="annotationsubject">
    <w:name w:val="annotation subject"/>
    <w:basedOn w:val="CommentText"/>
    <w:next w:val="CommentText"/>
    <w:link w:val="Style10"/>
    <w:uiPriority w:val="99"/>
    <w:semiHidden/>
    <w:unhideWhenUsed/>
    <w:qFormat/>
    <w:rsid w:val="00b8148c"/>
    <w:pPr/>
    <w:rPr>
      <w:b/>
      <w:bCs/>
    </w:rPr>
  </w:style>
  <w:style w:type="paragraph" w:styleId="FrameContentsuser" w:customStyle="1">
    <w:name w:val="Frame Contents (user)"/>
    <w:basedOn w:val="Normal"/>
    <w:qFormat/>
    <w:pPr/>
    <w:rPr/>
  </w:style>
  <w:style w:type="paragraph" w:styleId="32" w:customStyle="1">
    <w:name w:val="Основной текст (3)"/>
    <w:basedOn w:val="Normal"/>
    <w:link w:val="31"/>
    <w:qFormat/>
    <w:rsid w:val="00f27e97"/>
    <w:pPr>
      <w:widowControl w:val="false"/>
      <w:suppressAutoHyphens w:val="false"/>
      <w:spacing w:lineRule="auto" w:line="276"/>
      <w:ind w:left="3920"/>
    </w:pPr>
    <w:rPr>
      <w:rFonts w:ascii="Times New Roman" w:hAnsi="Times New Roman" w:eastAsia="Times New Roman" w:cs="Times New Roman"/>
      <w:b/>
      <w:bCs/>
      <w:color w:val="323232"/>
    </w:rPr>
  </w:style>
  <w:style w:type="paragraph" w:styleId="Heading10" w:customStyle="1">
    <w:name w:val="Heading 10"/>
    <w:basedOn w:val="Heading"/>
    <w:next w:val="BodyText"/>
    <w:qFormat/>
    <w:pPr>
      <w:numPr>
        <w:ilvl w:val="8"/>
        <w:numId w:val="1"/>
      </w:numPr>
      <w:spacing w:before="60" w:after="60"/>
      <w:outlineLvl w:val="8"/>
    </w:pPr>
    <w:rPr>
      <w:b/>
      <w:bCs/>
      <w:sz w:val="18"/>
      <w:szCs w:val="18"/>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2Basetxt" w:customStyle="1">
    <w:name w:val="2. Base_txt"/>
    <w:basedOn w:val="Normal"/>
    <w:qFormat/>
    <w:pPr>
      <w:widowControl w:val="false"/>
      <w:tabs>
        <w:tab w:val="clear" w:pos="720"/>
        <w:tab w:val="left" w:pos="1134" w:leader="none"/>
        <w:tab w:val="left" w:pos="1560" w:leader="none"/>
      </w:tabs>
      <w:spacing w:lineRule="auto" w:line="259" w:before="120" w:after="120"/>
      <w:ind w:firstLine="709" w:left="142"/>
      <w:jc w:val="both"/>
    </w:pPr>
    <w:rPr>
      <w:rFonts w:ascii="Arial Narrow" w:hAnsi="Arial Narrow" w:eastAsia="Times New Roman"/>
      <w:i/>
      <w:szCs w:val="20"/>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8">
    <w:name w:val="Table Grid"/>
    <w:basedOn w:val="a1"/>
    <w:uiPriority w:val="39"/>
    <w:rsid w:val="000332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nctionssearch.ofac.treas.gov/"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96896-6829-42A4-93D0-6E6A03B06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Application>LibreOffice/25.2.6.2$Linux_X86_64 LibreOffice_project/40d1a0e1d5bdf1afaeae24d9ece32bbb00fa66a4</Application>
  <AppVersion>15.0000</AppVersion>
  <DocSecurity>4</DocSecurity>
  <Pages>9</Pages>
  <Words>2372</Words>
  <Characters>16817</Characters>
  <CharactersWithSpaces>19057</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2025-10-28T05:51:00Z</dcterms:created>
  <dc:creator>Azim Siddikov</dc:creator>
  <dc:description/>
  <dc:language>en-US</dc:language>
  <cp:lastModifiedBy/>
  <cp:lastPrinted>2023-11-17T14:41:00Z</cp:lastPrinted>
  <dcterms:modified xsi:type="dcterms:W3CDTF">2025-10-28T12:38:10Z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c1c3689dd3d622868a8e8910d3e81df1500c970f390198db62834d3178f35f4a</vt:lpwstr>
  </property>
</Properties>
</file>